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A293" w14:textId="77777777" w:rsidR="005212C6" w:rsidRDefault="005212C6"/>
    <w:p w14:paraId="50F3D936" w14:textId="77777777" w:rsidR="00CE5E18" w:rsidRDefault="00D6476F">
      <w:r>
        <w:t xml:space="preserve">The Green Bank Observatory </w:t>
      </w:r>
      <w:r w:rsidR="00CE5E18">
        <w:t xml:space="preserve">(GBO) </w:t>
      </w:r>
      <w:r>
        <w:t>encourages the publication of papers using the Green Bank Telescope</w:t>
      </w:r>
      <w:r w:rsidR="00CE5E18">
        <w:t xml:space="preserve"> (GBT) by the community and scientific papers written by our staff.   The GBO will </w:t>
      </w:r>
      <w:r>
        <w:t xml:space="preserve">support page charges </w:t>
      </w:r>
      <w:r w:rsidR="00CE5E18">
        <w:t>f</w:t>
      </w:r>
      <w:r>
        <w:t xml:space="preserve">ollowing the guidelines listed </w:t>
      </w:r>
      <w:r w:rsidR="00C57972">
        <w:t>in this document.</w:t>
      </w:r>
    </w:p>
    <w:p w14:paraId="35E0D777" w14:textId="77777777" w:rsidR="00BB2D3E" w:rsidRDefault="00BB2D3E" w:rsidP="001929CD">
      <w:pPr>
        <w:rPr>
          <w:b/>
          <w:bCs/>
        </w:rPr>
      </w:pPr>
    </w:p>
    <w:p w14:paraId="0DB6CAD2" w14:textId="77777777" w:rsidR="00435D02" w:rsidRPr="00435D02" w:rsidRDefault="00435D02" w:rsidP="001929CD">
      <w:pPr>
        <w:rPr>
          <w:b/>
          <w:bCs/>
        </w:rPr>
      </w:pPr>
      <w:r w:rsidRPr="00435D02">
        <w:rPr>
          <w:b/>
          <w:bCs/>
        </w:rPr>
        <w:t>Requirements</w:t>
      </w:r>
      <w:r w:rsidR="00C57972">
        <w:rPr>
          <w:b/>
          <w:bCs/>
        </w:rPr>
        <w:t>:</w:t>
      </w:r>
    </w:p>
    <w:p w14:paraId="388FA4EB" w14:textId="77777777" w:rsidR="00D6476F" w:rsidRDefault="00C57972" w:rsidP="00BB2D3E">
      <w:pPr>
        <w:pStyle w:val="ListParagraph"/>
        <w:numPr>
          <w:ilvl w:val="0"/>
          <w:numId w:val="4"/>
        </w:numPr>
      </w:pPr>
      <w:r>
        <w:t>T</w:t>
      </w:r>
      <w:r w:rsidR="00D6476F">
        <w:t>he paper must include</w:t>
      </w:r>
      <w:r>
        <w:t xml:space="preserve"> the following statement, either </w:t>
      </w:r>
      <w:r w:rsidR="001929CD">
        <w:t xml:space="preserve">as an </w:t>
      </w:r>
      <w:r w:rsidR="00D6476F">
        <w:t xml:space="preserve">acknowledgement </w:t>
      </w:r>
      <w:r w:rsidR="001929CD">
        <w:t>or footnote</w:t>
      </w:r>
      <w:r>
        <w:t>:</w:t>
      </w:r>
    </w:p>
    <w:p w14:paraId="79B6A1E9" w14:textId="77777777" w:rsidR="001929CD" w:rsidRDefault="001929CD" w:rsidP="00BB2D3E">
      <w:pPr>
        <w:ind w:left="1440"/>
      </w:pPr>
      <w:r>
        <w:t>“The Green Bank Observatory is a facility of the National Science Foundation operated under cooperative agreement by Associated Universities, Inc.”</w:t>
      </w:r>
    </w:p>
    <w:p w14:paraId="6E6E5FFA" w14:textId="77777777" w:rsidR="00C57972" w:rsidRDefault="001929CD" w:rsidP="00BB2D3E">
      <w:pPr>
        <w:pStyle w:val="ListParagraph"/>
        <w:numPr>
          <w:ilvl w:val="0"/>
          <w:numId w:val="4"/>
        </w:numPr>
      </w:pPr>
      <w:r>
        <w:t xml:space="preserve">To be eligible for publication support, the authors must post their paper to </w:t>
      </w:r>
      <w:proofErr w:type="spellStart"/>
      <w:r>
        <w:t>arXiv</w:t>
      </w:r>
      <w:proofErr w:type="spellEnd"/>
      <w:r>
        <w:t xml:space="preserve"> (https:/arxiv.org)</w:t>
      </w:r>
      <w:r w:rsidR="00C57972">
        <w:t>.   This can be done after publication, if needed, based on the restrictions from the publisher.</w:t>
      </w:r>
    </w:p>
    <w:p w14:paraId="1B64EF16" w14:textId="77777777" w:rsidR="00435D02" w:rsidRDefault="00435D02" w:rsidP="00BB2D3E">
      <w:pPr>
        <w:pStyle w:val="ListParagraph"/>
        <w:numPr>
          <w:ilvl w:val="0"/>
          <w:numId w:val="4"/>
        </w:numPr>
      </w:pPr>
      <w:r>
        <w:t xml:space="preserve">Papers </w:t>
      </w:r>
      <w:r w:rsidR="00BB2D3E">
        <w:t xml:space="preserve">are eligible </w:t>
      </w:r>
      <w:r>
        <w:t xml:space="preserve">for </w:t>
      </w:r>
      <w:r w:rsidR="00646FFE">
        <w:t xml:space="preserve">GBT </w:t>
      </w:r>
      <w:r>
        <w:t xml:space="preserve">publication support when </w:t>
      </w:r>
      <w:r w:rsidR="00BB2D3E">
        <w:t xml:space="preserve">they are based on new </w:t>
      </w:r>
      <w:r>
        <w:t>GBT data</w:t>
      </w:r>
      <w:r w:rsidR="00BB2D3E">
        <w:t xml:space="preserve"> or based on new analysis of previous GBT data, including archival and/or GBT survey data.</w:t>
      </w:r>
    </w:p>
    <w:p w14:paraId="0A34DCD0" w14:textId="77777777" w:rsidR="00BB2D3E" w:rsidRDefault="00BB2D3E">
      <w:pPr>
        <w:rPr>
          <w:b/>
          <w:bCs/>
        </w:rPr>
      </w:pPr>
    </w:p>
    <w:p w14:paraId="2907C56C" w14:textId="77777777" w:rsidR="00646FFE" w:rsidRDefault="00646FFE">
      <w:pPr>
        <w:rPr>
          <w:b/>
          <w:bCs/>
        </w:rPr>
      </w:pPr>
      <w:r w:rsidRPr="00646FFE">
        <w:rPr>
          <w:b/>
          <w:bCs/>
        </w:rPr>
        <w:t>Rules:</w:t>
      </w:r>
    </w:p>
    <w:p w14:paraId="2A2D7A01" w14:textId="77777777" w:rsidR="00646FFE" w:rsidRPr="00646FFE" w:rsidRDefault="00646FFE">
      <w:pPr>
        <w:rPr>
          <w:b/>
          <w:bCs/>
        </w:rPr>
      </w:pPr>
    </w:p>
    <w:p w14:paraId="2DAE53ED" w14:textId="77777777" w:rsidR="00BB2D3E" w:rsidRDefault="00646FFE" w:rsidP="00BB2D3E">
      <w:pPr>
        <w:pStyle w:val="ListParagraph"/>
        <w:numPr>
          <w:ilvl w:val="0"/>
          <w:numId w:val="5"/>
        </w:numPr>
      </w:pPr>
      <w:r>
        <w:t>GBT papers including US-based authors qualify for publication support equal to the percentage of US-based authors.</w:t>
      </w:r>
      <w:r w:rsidR="00CE5E18">
        <w:t xml:space="preserve">   </w:t>
      </w:r>
      <w:r w:rsidR="00BB2D3E">
        <w:t xml:space="preserve"> </w:t>
      </w:r>
    </w:p>
    <w:p w14:paraId="13D68397" w14:textId="77777777" w:rsidR="00BB2D3E" w:rsidRDefault="00BB2D3E" w:rsidP="00BB2D3E">
      <w:pPr>
        <w:pStyle w:val="ListParagraph"/>
      </w:pPr>
    </w:p>
    <w:p w14:paraId="2782FF30" w14:textId="77777777" w:rsidR="00646FFE" w:rsidRDefault="00BB2D3E" w:rsidP="00BB2D3E">
      <w:pPr>
        <w:pStyle w:val="ListParagraph"/>
        <w:numPr>
          <w:ilvl w:val="0"/>
          <w:numId w:val="5"/>
        </w:numPr>
      </w:pPr>
      <w:r>
        <w:t>For papers where the GBT data plays only a minor role, authors are encouraged to seek out page charge support from other facilities/funding sources when possible.</w:t>
      </w:r>
    </w:p>
    <w:p w14:paraId="6784AB47" w14:textId="77777777" w:rsidR="00BB2D3E" w:rsidRDefault="00BB2D3E" w:rsidP="00BB2D3E">
      <w:pPr>
        <w:pStyle w:val="ListParagraph"/>
      </w:pPr>
    </w:p>
    <w:p w14:paraId="67ABB0A3" w14:textId="77777777" w:rsidR="0074765D" w:rsidRDefault="0074765D" w:rsidP="00C57972">
      <w:pPr>
        <w:pStyle w:val="ListParagraph"/>
        <w:numPr>
          <w:ilvl w:val="0"/>
          <w:numId w:val="5"/>
        </w:numPr>
      </w:pPr>
      <w:r>
        <w:t xml:space="preserve">If </w:t>
      </w:r>
      <w:r w:rsidR="00C57972">
        <w:t xml:space="preserve">a </w:t>
      </w:r>
      <w:r>
        <w:t>GBO employee is the</w:t>
      </w:r>
      <w:r w:rsidR="00533607">
        <w:t xml:space="preserve"> lead author,</w:t>
      </w:r>
      <w:r>
        <w:t xml:space="preserve"> </w:t>
      </w:r>
      <w:r w:rsidR="00646FFE">
        <w:t xml:space="preserve">the GBO </w:t>
      </w:r>
      <w:r w:rsidR="00EC7489">
        <w:t>can</w:t>
      </w:r>
      <w:r w:rsidR="00646FFE">
        <w:t xml:space="preserve"> support </w:t>
      </w:r>
      <w:r>
        <w:t xml:space="preserve">100% of </w:t>
      </w:r>
      <w:r w:rsidR="00646FFE">
        <w:t xml:space="preserve">the publication </w:t>
      </w:r>
      <w:r>
        <w:t>charges.</w:t>
      </w:r>
    </w:p>
    <w:p w14:paraId="40A441FE" w14:textId="77777777" w:rsidR="0074765D" w:rsidRDefault="0074765D"/>
    <w:p w14:paraId="788492E0" w14:textId="77777777" w:rsidR="007D5468" w:rsidRDefault="009955EB" w:rsidP="00C57972">
      <w:pPr>
        <w:pStyle w:val="ListParagraph"/>
        <w:numPr>
          <w:ilvl w:val="0"/>
          <w:numId w:val="5"/>
        </w:numPr>
      </w:pPr>
      <w:r>
        <w:t xml:space="preserve">If a GBO employee is </w:t>
      </w:r>
      <w:r w:rsidR="008D3FCF">
        <w:t>the 2</w:t>
      </w:r>
      <w:r w:rsidR="008D3FCF" w:rsidRPr="008D3FCF">
        <w:rPr>
          <w:vertAlign w:val="superscript"/>
        </w:rPr>
        <w:t>nd</w:t>
      </w:r>
      <w:r w:rsidR="008D3FCF">
        <w:t xml:space="preserve"> or 3</w:t>
      </w:r>
      <w:r w:rsidR="008D3FCF" w:rsidRPr="008D3FCF">
        <w:rPr>
          <w:vertAlign w:val="superscript"/>
        </w:rPr>
        <w:t>rd</w:t>
      </w:r>
      <w:r w:rsidR="008D3FCF">
        <w:t xml:space="preserve"> </w:t>
      </w:r>
      <w:r>
        <w:t>author</w:t>
      </w:r>
      <w:r w:rsidR="008D3FCF">
        <w:t xml:space="preserve"> </w:t>
      </w:r>
      <w:r>
        <w:t xml:space="preserve">of a multi-author </w:t>
      </w:r>
      <w:r w:rsidR="0074765D">
        <w:t>paper</w:t>
      </w:r>
      <w:r>
        <w:t xml:space="preserve">, the GBO </w:t>
      </w:r>
      <w:r w:rsidR="00EC7489">
        <w:t>can s</w:t>
      </w:r>
      <w:r>
        <w:t xml:space="preserve">upport 50% of the page charges, or up to 75% if </w:t>
      </w:r>
      <w:r w:rsidR="00C57972">
        <w:t>both the 2</w:t>
      </w:r>
      <w:r w:rsidR="00C57972" w:rsidRPr="00C57972">
        <w:rPr>
          <w:vertAlign w:val="superscript"/>
        </w:rPr>
        <w:t>nd</w:t>
      </w:r>
      <w:r w:rsidR="00C57972">
        <w:t xml:space="preserve"> and 3</w:t>
      </w:r>
      <w:r w:rsidR="00C57972" w:rsidRPr="00C57972">
        <w:rPr>
          <w:vertAlign w:val="superscript"/>
        </w:rPr>
        <w:t>rd</w:t>
      </w:r>
      <w:r w:rsidR="00C57972">
        <w:t xml:space="preserve"> </w:t>
      </w:r>
      <w:r>
        <w:t>authors are from the GBO.</w:t>
      </w:r>
      <w:r w:rsidR="0074765D">
        <w:t xml:space="preserve"> </w:t>
      </w:r>
    </w:p>
    <w:p w14:paraId="790996DE" w14:textId="77777777" w:rsidR="008D3FCF" w:rsidRDefault="008D3FCF" w:rsidP="00662936"/>
    <w:p w14:paraId="7FEDC731" w14:textId="77777777" w:rsidR="008D3FCF" w:rsidRDefault="008D3FCF" w:rsidP="00C57972">
      <w:pPr>
        <w:pStyle w:val="ListParagraph"/>
        <w:numPr>
          <w:ilvl w:val="0"/>
          <w:numId w:val="5"/>
        </w:numPr>
      </w:pPr>
      <w:r>
        <w:t>Summer students</w:t>
      </w:r>
      <w:r w:rsidR="00EC7489">
        <w:t>, co-op s</w:t>
      </w:r>
      <w:r>
        <w:t>tudents</w:t>
      </w:r>
      <w:r w:rsidR="00EC7489">
        <w:t xml:space="preserve">, </w:t>
      </w:r>
      <w:proofErr w:type="spellStart"/>
      <w:r w:rsidR="00EC7489">
        <w:t>Reber</w:t>
      </w:r>
      <w:proofErr w:type="spellEnd"/>
      <w:r w:rsidR="00EC7489">
        <w:t xml:space="preserve"> Fellows, and visiting scientists will be treated as GBO employees for publications that result directly from their work while at the GBO.</w:t>
      </w:r>
    </w:p>
    <w:p w14:paraId="5FFFAF71" w14:textId="77777777" w:rsidR="009955EB" w:rsidRDefault="009955EB" w:rsidP="00AF633A"/>
    <w:p w14:paraId="6EFA59A4" w14:textId="4DAA2DC2" w:rsidR="005212C6" w:rsidRDefault="00852ACC" w:rsidP="00D814FD">
      <w:pPr>
        <w:pStyle w:val="ListParagraph"/>
        <w:numPr>
          <w:ilvl w:val="0"/>
          <w:numId w:val="5"/>
        </w:numPr>
      </w:pPr>
      <w:r>
        <w:t xml:space="preserve">At the discretion of the GBO </w:t>
      </w:r>
      <w:r w:rsidR="00BB2D3E">
        <w:t>D</w:t>
      </w:r>
      <w:r>
        <w:t>irector</w:t>
      </w:r>
      <w:r w:rsidR="00533607">
        <w:t xml:space="preserve"> or Chief Scientist</w:t>
      </w:r>
      <w:r>
        <w:t xml:space="preserve">, </w:t>
      </w:r>
      <w:r w:rsidR="003D52AC">
        <w:t xml:space="preserve">additional </w:t>
      </w:r>
      <w:r>
        <w:t xml:space="preserve">page charge support </w:t>
      </w:r>
      <w:r w:rsidR="00206675">
        <w:t xml:space="preserve">may </w:t>
      </w:r>
      <w:r>
        <w:t xml:space="preserve">be </w:t>
      </w:r>
      <w:r w:rsidR="00206675">
        <w:t xml:space="preserve">provided </w:t>
      </w:r>
      <w:r w:rsidR="00533607">
        <w:t xml:space="preserve">to those </w:t>
      </w:r>
      <w:r>
        <w:t xml:space="preserve">who publish results from </w:t>
      </w:r>
      <w:r w:rsidR="003D52AC">
        <w:t xml:space="preserve">the </w:t>
      </w:r>
      <w:proofErr w:type="gramStart"/>
      <w:r w:rsidR="003D52AC">
        <w:t>GBT</w:t>
      </w:r>
      <w:proofErr w:type="gramEnd"/>
      <w:r w:rsidR="003D52AC">
        <w:t xml:space="preserve"> and support may be provided for publications based on other </w:t>
      </w:r>
      <w:r>
        <w:t>Green Bank Instruments</w:t>
      </w:r>
      <w:r w:rsidR="003D52AC">
        <w:t xml:space="preserve"> as well.</w:t>
      </w:r>
      <w:r>
        <w:t xml:space="preserve"> </w:t>
      </w:r>
    </w:p>
    <w:p w14:paraId="154DCF62" w14:textId="77777777" w:rsidR="005212C6" w:rsidRDefault="005212C6"/>
    <w:p w14:paraId="65199E2B" w14:textId="77777777" w:rsidR="005212C6" w:rsidRDefault="005212C6"/>
    <w:sectPr w:rsidR="005212C6" w:rsidSect="0057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0C07" w14:textId="77777777" w:rsidR="00925919" w:rsidRDefault="00925919" w:rsidP="00157B48">
      <w:r>
        <w:separator/>
      </w:r>
    </w:p>
  </w:endnote>
  <w:endnote w:type="continuationSeparator" w:id="0">
    <w:p w14:paraId="1E217B38" w14:textId="77777777" w:rsidR="00925919" w:rsidRDefault="00925919" w:rsidP="001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8A5D" w14:textId="77777777" w:rsidR="003D1603" w:rsidRDefault="003D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99BA" w14:textId="77777777" w:rsidR="003D1603" w:rsidRDefault="003D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17DB" w14:textId="77777777" w:rsidR="003D1603" w:rsidRDefault="003D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6A3F" w14:textId="77777777" w:rsidR="00925919" w:rsidRDefault="00925919" w:rsidP="00157B48">
      <w:r>
        <w:separator/>
      </w:r>
    </w:p>
  </w:footnote>
  <w:footnote w:type="continuationSeparator" w:id="0">
    <w:p w14:paraId="1BCC36F2" w14:textId="77777777" w:rsidR="00925919" w:rsidRDefault="00925919" w:rsidP="0015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BFDC" w14:textId="77777777" w:rsidR="003D1603" w:rsidRDefault="003D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5844" w14:textId="77777777" w:rsidR="00570EB5" w:rsidRDefault="00157B48">
    <w:pPr>
      <w:pStyle w:val="Header"/>
      <w:rPr>
        <w:b/>
        <w:bCs/>
        <w:sz w:val="32"/>
        <w:szCs w:val="32"/>
      </w:rPr>
    </w:pPr>
    <w:r w:rsidRPr="00570EB5">
      <w:rPr>
        <w:b/>
        <w:bCs/>
        <w:sz w:val="32"/>
        <w:szCs w:val="32"/>
      </w:rPr>
      <w:t>Gre</w:t>
    </w:r>
    <w:r w:rsidR="00D6476F">
      <w:rPr>
        <w:b/>
        <w:bCs/>
        <w:sz w:val="32"/>
        <w:szCs w:val="32"/>
      </w:rPr>
      <w:t xml:space="preserve">en Bank Observatory </w:t>
    </w:r>
    <w:r w:rsidRPr="00570EB5">
      <w:rPr>
        <w:b/>
        <w:bCs/>
        <w:sz w:val="32"/>
        <w:szCs w:val="32"/>
      </w:rPr>
      <w:t>P</w:t>
    </w:r>
    <w:r w:rsidR="00D6476F">
      <w:rPr>
        <w:b/>
        <w:bCs/>
        <w:sz w:val="32"/>
        <w:szCs w:val="32"/>
      </w:rPr>
      <w:t>age Charge Policy</w:t>
    </w:r>
    <w:r w:rsidR="00570EB5">
      <w:rPr>
        <w:b/>
        <w:bCs/>
        <w:sz w:val="32"/>
        <w:szCs w:val="32"/>
      </w:rPr>
      <w:tab/>
    </w:r>
    <w:r w:rsidR="00570EB5">
      <w:rPr>
        <w:noProof/>
      </w:rPr>
      <w:drawing>
        <wp:inline distT="0" distB="0" distL="0" distR="0" wp14:anchorId="21D1C191" wp14:editId="06FBA7EE">
          <wp:extent cx="1573212" cy="873166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81" cy="106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9162C" w14:textId="77777777" w:rsidR="00157B48" w:rsidRPr="00570EB5" w:rsidRDefault="003D1603">
    <w:pPr>
      <w:pStyle w:val="Header"/>
      <w:rPr>
        <w:b/>
        <w:bCs/>
        <w:sz w:val="32"/>
        <w:szCs w:val="32"/>
      </w:rPr>
    </w:pPr>
    <w:r>
      <w:t>2023 March</w:t>
    </w:r>
    <w:r w:rsidR="00157B48">
      <w:tab/>
    </w:r>
    <w:r w:rsidR="00157B48"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307D" w14:textId="77777777" w:rsidR="003D1603" w:rsidRDefault="003D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6B77"/>
    <w:multiLevelType w:val="hybridMultilevel"/>
    <w:tmpl w:val="033E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469A"/>
    <w:multiLevelType w:val="hybridMultilevel"/>
    <w:tmpl w:val="9E34DC98"/>
    <w:lvl w:ilvl="0" w:tplc="0EAEA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1FFA"/>
    <w:multiLevelType w:val="hybridMultilevel"/>
    <w:tmpl w:val="BDDA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F0C"/>
    <w:multiLevelType w:val="hybridMultilevel"/>
    <w:tmpl w:val="6246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088E"/>
    <w:multiLevelType w:val="hybridMultilevel"/>
    <w:tmpl w:val="9B92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02493">
    <w:abstractNumId w:val="1"/>
  </w:num>
  <w:num w:numId="2" w16cid:durableId="43068058">
    <w:abstractNumId w:val="0"/>
  </w:num>
  <w:num w:numId="3" w16cid:durableId="42756986">
    <w:abstractNumId w:val="3"/>
  </w:num>
  <w:num w:numId="4" w16cid:durableId="87891155">
    <w:abstractNumId w:val="4"/>
  </w:num>
  <w:num w:numId="5" w16cid:durableId="158872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48"/>
    <w:rsid w:val="000B5618"/>
    <w:rsid w:val="00157B48"/>
    <w:rsid w:val="001929CD"/>
    <w:rsid w:val="00206675"/>
    <w:rsid w:val="002F412D"/>
    <w:rsid w:val="003D1603"/>
    <w:rsid w:val="003D52AC"/>
    <w:rsid w:val="00435D02"/>
    <w:rsid w:val="004C4FB4"/>
    <w:rsid w:val="005212C6"/>
    <w:rsid w:val="00533607"/>
    <w:rsid w:val="00545889"/>
    <w:rsid w:val="00570EB5"/>
    <w:rsid w:val="005C3F14"/>
    <w:rsid w:val="00646FFE"/>
    <w:rsid w:val="00662936"/>
    <w:rsid w:val="0074765D"/>
    <w:rsid w:val="0078491C"/>
    <w:rsid w:val="007A24E6"/>
    <w:rsid w:val="007D5468"/>
    <w:rsid w:val="00852ACC"/>
    <w:rsid w:val="008969A4"/>
    <w:rsid w:val="008D3FCF"/>
    <w:rsid w:val="00925919"/>
    <w:rsid w:val="009955EB"/>
    <w:rsid w:val="00A82510"/>
    <w:rsid w:val="00AF633A"/>
    <w:rsid w:val="00BB2D3E"/>
    <w:rsid w:val="00BC5BFD"/>
    <w:rsid w:val="00C57972"/>
    <w:rsid w:val="00CE5E18"/>
    <w:rsid w:val="00D6476F"/>
    <w:rsid w:val="00D814FD"/>
    <w:rsid w:val="00EC7489"/>
    <w:rsid w:val="00ED4509"/>
    <w:rsid w:val="00F20525"/>
    <w:rsid w:val="00F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6F83"/>
  <w15:chartTrackingRefBased/>
  <w15:docId w15:val="{E829A983-A43C-5C4A-ADE8-54C2308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48"/>
  </w:style>
  <w:style w:type="paragraph" w:styleId="Footer">
    <w:name w:val="footer"/>
    <w:basedOn w:val="Normal"/>
    <w:link w:val="FooterChar"/>
    <w:uiPriority w:val="99"/>
    <w:unhideWhenUsed/>
    <w:rsid w:val="0015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48"/>
  </w:style>
  <w:style w:type="paragraph" w:styleId="ListParagraph">
    <w:name w:val="List Paragraph"/>
    <w:basedOn w:val="Normal"/>
    <w:uiPriority w:val="34"/>
    <w:qFormat/>
    <w:rsid w:val="0019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Frayer</dc:creator>
  <cp:keywords/>
  <dc:description/>
  <cp:lastModifiedBy>David Frayer</cp:lastModifiedBy>
  <cp:revision>7</cp:revision>
  <cp:lastPrinted>2023-03-31T19:42:00Z</cp:lastPrinted>
  <dcterms:created xsi:type="dcterms:W3CDTF">2023-03-31T19:42:00Z</dcterms:created>
  <dcterms:modified xsi:type="dcterms:W3CDTF">2023-10-13T20:46:00Z</dcterms:modified>
</cp:coreProperties>
</file>