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E5FA7" w14:textId="1230DEEB" w:rsidR="00235F89" w:rsidRPr="00EA444B" w:rsidRDefault="00B3360E" w:rsidP="00B3360E">
      <w:pPr>
        <w:tabs>
          <w:tab w:val="left" w:pos="1530"/>
          <w:tab w:val="left" w:pos="5835"/>
        </w:tabs>
      </w:pPr>
      <w:bookmarkStart w:id="0" w:name="_Toc631130"/>
      <w:r>
        <w:tab/>
      </w:r>
      <w:r>
        <w:tab/>
      </w:r>
    </w:p>
    <w:p w14:paraId="74E78899" w14:textId="77777777" w:rsidR="00235F89" w:rsidRPr="00EA444B" w:rsidRDefault="00235F89" w:rsidP="001812E3"/>
    <w:p w14:paraId="5F856B17" w14:textId="77777777" w:rsidR="00235F89" w:rsidRPr="00B55D0A" w:rsidRDefault="00235F89">
      <w:pPr>
        <w:pStyle w:val="MainTitle"/>
      </w:pPr>
      <w:r w:rsidRPr="00EA444B">
        <w:t>Green Bank Observatory</w:t>
      </w:r>
    </w:p>
    <w:p w14:paraId="0034F401" w14:textId="77777777" w:rsidR="006F4BCC" w:rsidRPr="00B55D0A" w:rsidRDefault="006F4BCC">
      <w:pPr>
        <w:pStyle w:val="MainTitle"/>
      </w:pPr>
      <w:r w:rsidRPr="00EA444B">
        <w:t xml:space="preserve">Program Operating Plan </w:t>
      </w:r>
    </w:p>
    <w:p w14:paraId="1C6A2EA5" w14:textId="7253D98A" w:rsidR="00235F89" w:rsidRPr="00B55D0A" w:rsidRDefault="00235F89">
      <w:pPr>
        <w:pStyle w:val="MainTitle"/>
      </w:pPr>
      <w:r w:rsidRPr="00EA444B">
        <w:t>FY202</w:t>
      </w:r>
      <w:r w:rsidR="00C76750">
        <w:t>3</w:t>
      </w:r>
    </w:p>
    <w:p w14:paraId="0C09681B" w14:textId="77777777" w:rsidR="00235F89" w:rsidRPr="00EA444B" w:rsidRDefault="00235F89"/>
    <w:p w14:paraId="5FEB8CE7" w14:textId="77777777" w:rsidR="00235F89" w:rsidRPr="00EA444B" w:rsidRDefault="00235F89"/>
    <w:p w14:paraId="6A89637D" w14:textId="77777777" w:rsidR="00235F89" w:rsidRPr="00EA444B" w:rsidRDefault="00235F89"/>
    <w:tbl>
      <w:tblPr>
        <w:tblW w:w="9376" w:type="dxa"/>
        <w:tblInd w:w="-10" w:type="dxa"/>
        <w:tblBorders>
          <w:top w:val="doub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769"/>
        <w:gridCol w:w="2376"/>
        <w:gridCol w:w="2231"/>
      </w:tblGrid>
      <w:tr w:rsidR="00235F89" w:rsidRPr="00EA444B" w14:paraId="54556992" w14:textId="77777777" w:rsidTr="006F4BCC">
        <w:trPr>
          <w:trHeight w:val="399"/>
        </w:trPr>
        <w:tc>
          <w:tcPr>
            <w:tcW w:w="4769" w:type="dxa"/>
            <w:tcBorders>
              <w:top w:val="double" w:sz="4" w:space="0" w:color="00000A"/>
              <w:left w:val="single" w:sz="4" w:space="0" w:color="00000A"/>
              <w:bottom w:val="single" w:sz="4" w:space="0" w:color="00000A"/>
              <w:right w:val="single" w:sz="4" w:space="0" w:color="00000A"/>
            </w:tcBorders>
            <w:shd w:val="clear" w:color="auto" w:fill="auto"/>
            <w:tcMar>
              <w:left w:w="93" w:type="dxa"/>
            </w:tcMar>
          </w:tcPr>
          <w:p w14:paraId="33BAAFFE" w14:textId="77777777" w:rsidR="00235F89" w:rsidRPr="00EA444B" w:rsidRDefault="00235F89">
            <w:r w:rsidRPr="00EA444B">
              <w:t xml:space="preserve">PREPARED BY </w:t>
            </w:r>
          </w:p>
        </w:tc>
        <w:tc>
          <w:tcPr>
            <w:tcW w:w="2376" w:type="dxa"/>
            <w:tcBorders>
              <w:top w:val="double" w:sz="4" w:space="0" w:color="00000A"/>
              <w:left w:val="single" w:sz="4" w:space="0" w:color="00000A"/>
              <w:bottom w:val="single" w:sz="4" w:space="0" w:color="00000A"/>
              <w:right w:val="single" w:sz="4" w:space="0" w:color="00000A"/>
            </w:tcBorders>
            <w:shd w:val="clear" w:color="auto" w:fill="auto"/>
            <w:tcMar>
              <w:left w:w="93" w:type="dxa"/>
            </w:tcMar>
          </w:tcPr>
          <w:p w14:paraId="1BFE673C" w14:textId="77777777" w:rsidR="00235F89" w:rsidRPr="00EA444B" w:rsidRDefault="00235F89">
            <w:r w:rsidRPr="00EA444B">
              <w:t>ORGANIZATION</w:t>
            </w:r>
          </w:p>
        </w:tc>
        <w:tc>
          <w:tcPr>
            <w:tcW w:w="2231" w:type="dxa"/>
            <w:tcBorders>
              <w:top w:val="double" w:sz="4" w:space="0" w:color="00000A"/>
              <w:left w:val="single" w:sz="4" w:space="0" w:color="00000A"/>
              <w:bottom w:val="single" w:sz="4" w:space="0" w:color="00000A"/>
              <w:right w:val="single" w:sz="4" w:space="0" w:color="00000A"/>
            </w:tcBorders>
            <w:shd w:val="clear" w:color="auto" w:fill="auto"/>
            <w:tcMar>
              <w:left w:w="93" w:type="dxa"/>
            </w:tcMar>
          </w:tcPr>
          <w:p w14:paraId="09CB38F9" w14:textId="77777777" w:rsidR="00235F89" w:rsidRPr="00EA444B" w:rsidRDefault="00235F89">
            <w:r w:rsidRPr="00EA444B">
              <w:t>DATE</w:t>
            </w:r>
          </w:p>
        </w:tc>
      </w:tr>
      <w:tr w:rsidR="00235F89" w:rsidRPr="00EA444B" w14:paraId="65BD82D8" w14:textId="77777777" w:rsidTr="006F4BCC">
        <w:trPr>
          <w:trHeight w:val="362"/>
        </w:trPr>
        <w:tc>
          <w:tcPr>
            <w:tcW w:w="47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BBFD9F5" w14:textId="4E4834C5" w:rsidR="00235F89" w:rsidRPr="00EA444B" w:rsidRDefault="00C76750" w:rsidP="001812E3">
            <w:r>
              <w:t>James M. Jackson</w:t>
            </w:r>
          </w:p>
        </w:tc>
        <w:tc>
          <w:tcPr>
            <w:tcW w:w="237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1976A1" w14:textId="77777777" w:rsidR="00235F89" w:rsidRPr="00EA444B" w:rsidRDefault="00235F89" w:rsidP="000E21B8">
            <w:pPr>
              <w:jc w:val="left"/>
            </w:pPr>
            <w:r w:rsidRPr="00EA444B">
              <w:t>Green Bank Observatory</w:t>
            </w:r>
          </w:p>
        </w:tc>
        <w:tc>
          <w:tcPr>
            <w:tcW w:w="22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E8C43E" w14:textId="09DA71CB" w:rsidR="00235F89" w:rsidRPr="00EA444B" w:rsidRDefault="00C76750">
            <w:r>
              <w:t>9/30/2022</w:t>
            </w:r>
          </w:p>
        </w:tc>
      </w:tr>
    </w:tbl>
    <w:p w14:paraId="32519048" w14:textId="77777777" w:rsidR="00235F89" w:rsidRPr="00EA444B" w:rsidRDefault="00235F89" w:rsidP="001812E3"/>
    <w:p w14:paraId="7E18DEA3" w14:textId="77777777" w:rsidR="00235F89" w:rsidRPr="00EA444B" w:rsidRDefault="00235F89"/>
    <w:tbl>
      <w:tblPr>
        <w:tblW w:w="9350" w:type="dxa"/>
        <w:tblInd w:w="-10" w:type="dxa"/>
        <w:tblBorders>
          <w:top w:val="doub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724"/>
        <w:gridCol w:w="2415"/>
        <w:gridCol w:w="2211"/>
      </w:tblGrid>
      <w:tr w:rsidR="00235F89" w:rsidRPr="00EA444B" w14:paraId="1175C09D" w14:textId="77777777" w:rsidTr="006F4BCC">
        <w:tc>
          <w:tcPr>
            <w:tcW w:w="4724" w:type="dxa"/>
            <w:tcBorders>
              <w:top w:val="doub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B22142B" w14:textId="77777777" w:rsidR="00235F89" w:rsidRPr="00EA444B" w:rsidRDefault="00235F89">
            <w:r w:rsidRPr="00EA444B">
              <w:t>APPROVALS (Name and Signature)</w:t>
            </w:r>
          </w:p>
        </w:tc>
        <w:tc>
          <w:tcPr>
            <w:tcW w:w="2415" w:type="dxa"/>
            <w:tcBorders>
              <w:top w:val="doub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56C8054" w14:textId="77777777" w:rsidR="00235F89" w:rsidRPr="00EA444B" w:rsidRDefault="00235F89">
            <w:r w:rsidRPr="00EA444B">
              <w:t>ORGANIZATION</w:t>
            </w:r>
          </w:p>
        </w:tc>
        <w:tc>
          <w:tcPr>
            <w:tcW w:w="2211" w:type="dxa"/>
            <w:tcBorders>
              <w:top w:val="double" w:sz="4" w:space="0" w:color="00000A"/>
              <w:left w:val="single" w:sz="4" w:space="0" w:color="00000A"/>
              <w:bottom w:val="single" w:sz="4" w:space="0" w:color="00000A"/>
              <w:right w:val="single" w:sz="4" w:space="0" w:color="00000A"/>
            </w:tcBorders>
            <w:shd w:val="clear" w:color="auto" w:fill="auto"/>
            <w:tcMar>
              <w:left w:w="93" w:type="dxa"/>
            </w:tcMar>
            <w:vAlign w:val="center"/>
          </w:tcPr>
          <w:p w14:paraId="2E83CDAA" w14:textId="77777777" w:rsidR="00235F89" w:rsidRPr="00EA444B" w:rsidRDefault="00235F89">
            <w:r w:rsidRPr="00EA444B">
              <w:t>DATE</w:t>
            </w:r>
          </w:p>
        </w:tc>
      </w:tr>
      <w:tr w:rsidR="00235F89" w:rsidRPr="00EA444B" w14:paraId="59EE2B70" w14:textId="77777777" w:rsidTr="00C76750">
        <w:trPr>
          <w:trHeight w:val="701"/>
        </w:trPr>
        <w:tc>
          <w:tcPr>
            <w:tcW w:w="47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6AEFF2" w14:textId="77777777" w:rsidR="00235F89" w:rsidRPr="00EA444B" w:rsidRDefault="00235F89" w:rsidP="001812E3">
            <w:r w:rsidRPr="00EA444B">
              <w:t>Tony Beasley</w:t>
            </w:r>
          </w:p>
        </w:tc>
        <w:tc>
          <w:tcPr>
            <w:tcW w:w="24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A83F77F" w14:textId="77777777" w:rsidR="00235F89" w:rsidRPr="00EA444B" w:rsidRDefault="00235F89">
            <w:r w:rsidRPr="00EA444B">
              <w:t>AUI</w:t>
            </w:r>
          </w:p>
        </w:tc>
        <w:tc>
          <w:tcPr>
            <w:tcW w:w="2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BAA238" w14:textId="264ECB5A" w:rsidR="00235F89" w:rsidRPr="00EA444B" w:rsidRDefault="00103FC3">
            <w:r>
              <w:t>9/30/202</w:t>
            </w:r>
            <w:r w:rsidR="00C76750">
              <w:t>2</w:t>
            </w:r>
          </w:p>
        </w:tc>
      </w:tr>
      <w:tr w:rsidR="00235F89" w:rsidRPr="00EA444B" w14:paraId="04492BE8" w14:textId="77777777" w:rsidTr="00C76750">
        <w:trPr>
          <w:trHeight w:val="710"/>
        </w:trPr>
        <w:tc>
          <w:tcPr>
            <w:tcW w:w="47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1055383" w14:textId="77777777" w:rsidR="00235F89" w:rsidRPr="00EA444B" w:rsidRDefault="00235F89" w:rsidP="001812E3">
            <w:r w:rsidRPr="00EA444B">
              <w:t>Dave Curren</w:t>
            </w:r>
          </w:p>
        </w:tc>
        <w:tc>
          <w:tcPr>
            <w:tcW w:w="24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4618AAD" w14:textId="77777777" w:rsidR="00235F89" w:rsidRPr="00EA444B" w:rsidRDefault="00235F89">
            <w:r w:rsidRPr="00EA444B">
              <w:t>AUI</w:t>
            </w:r>
          </w:p>
        </w:tc>
        <w:tc>
          <w:tcPr>
            <w:tcW w:w="2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11F0A2" w14:textId="7C452B73" w:rsidR="00235F89" w:rsidRPr="00EA444B" w:rsidRDefault="00103FC3">
            <w:r>
              <w:t>9/30/202</w:t>
            </w:r>
            <w:r w:rsidR="00C76750">
              <w:t>2</w:t>
            </w:r>
          </w:p>
        </w:tc>
      </w:tr>
    </w:tbl>
    <w:p w14:paraId="0626077A" w14:textId="77777777" w:rsidR="00235F89" w:rsidRPr="00EA444B" w:rsidRDefault="00235F89" w:rsidP="001812E3"/>
    <w:p w14:paraId="7BF97C87" w14:textId="77777777" w:rsidR="00235F89" w:rsidRPr="00EA444B" w:rsidRDefault="00235F89"/>
    <w:tbl>
      <w:tblPr>
        <w:tblW w:w="9350" w:type="dxa"/>
        <w:tblInd w:w="-10" w:type="dxa"/>
        <w:tblBorders>
          <w:top w:val="doub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720"/>
        <w:gridCol w:w="2415"/>
        <w:gridCol w:w="2215"/>
      </w:tblGrid>
      <w:tr w:rsidR="00235F89" w:rsidRPr="00EA444B" w14:paraId="7DFA9794" w14:textId="77777777" w:rsidTr="006F4BCC">
        <w:tc>
          <w:tcPr>
            <w:tcW w:w="4720" w:type="dxa"/>
            <w:tcBorders>
              <w:top w:val="double" w:sz="4" w:space="0" w:color="00000A"/>
              <w:left w:val="single" w:sz="4" w:space="0" w:color="00000A"/>
              <w:bottom w:val="single" w:sz="4" w:space="0" w:color="00000A"/>
              <w:right w:val="single" w:sz="4" w:space="0" w:color="00000A"/>
            </w:tcBorders>
            <w:shd w:val="clear" w:color="auto" w:fill="auto"/>
            <w:tcMar>
              <w:left w:w="93" w:type="dxa"/>
            </w:tcMar>
          </w:tcPr>
          <w:p w14:paraId="2D2B4380" w14:textId="77777777" w:rsidR="00235F89" w:rsidRPr="00EA444B" w:rsidRDefault="00235F89">
            <w:r w:rsidRPr="00EA444B">
              <w:t>RELEASED BY (Name and Signature)</w:t>
            </w:r>
          </w:p>
        </w:tc>
        <w:tc>
          <w:tcPr>
            <w:tcW w:w="2415" w:type="dxa"/>
            <w:tcBorders>
              <w:top w:val="double" w:sz="4" w:space="0" w:color="00000A"/>
              <w:left w:val="single" w:sz="4" w:space="0" w:color="00000A"/>
              <w:bottom w:val="single" w:sz="4" w:space="0" w:color="00000A"/>
              <w:right w:val="single" w:sz="4" w:space="0" w:color="00000A"/>
            </w:tcBorders>
            <w:shd w:val="clear" w:color="auto" w:fill="auto"/>
            <w:tcMar>
              <w:left w:w="93" w:type="dxa"/>
            </w:tcMar>
          </w:tcPr>
          <w:p w14:paraId="6FC95419" w14:textId="77777777" w:rsidR="00235F89" w:rsidRPr="00EA444B" w:rsidRDefault="00235F89">
            <w:r w:rsidRPr="00EA444B">
              <w:t>ORGANIZATION</w:t>
            </w:r>
          </w:p>
        </w:tc>
        <w:tc>
          <w:tcPr>
            <w:tcW w:w="2215" w:type="dxa"/>
            <w:tcBorders>
              <w:top w:val="double" w:sz="4" w:space="0" w:color="00000A"/>
              <w:left w:val="single" w:sz="4" w:space="0" w:color="00000A"/>
              <w:bottom w:val="single" w:sz="4" w:space="0" w:color="00000A"/>
              <w:right w:val="single" w:sz="4" w:space="0" w:color="00000A"/>
            </w:tcBorders>
            <w:shd w:val="clear" w:color="auto" w:fill="auto"/>
            <w:tcMar>
              <w:left w:w="93" w:type="dxa"/>
            </w:tcMar>
          </w:tcPr>
          <w:p w14:paraId="19AC31AE" w14:textId="77777777" w:rsidR="00235F89" w:rsidRPr="00EA444B" w:rsidRDefault="00235F89">
            <w:r w:rsidRPr="00EA444B">
              <w:t>DATE</w:t>
            </w:r>
          </w:p>
        </w:tc>
      </w:tr>
      <w:tr w:rsidR="00235F89" w:rsidRPr="00EA444B" w14:paraId="4E8B445B" w14:textId="77777777" w:rsidTr="00C76750">
        <w:trPr>
          <w:trHeight w:val="629"/>
        </w:trPr>
        <w:tc>
          <w:tcPr>
            <w:tcW w:w="472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9611E3" w14:textId="77777777" w:rsidR="00235F89" w:rsidRPr="00EA444B" w:rsidRDefault="00235F89" w:rsidP="001812E3">
            <w:r w:rsidRPr="00EA444B">
              <w:t>Nicole Thisdell</w:t>
            </w:r>
          </w:p>
        </w:tc>
        <w:tc>
          <w:tcPr>
            <w:tcW w:w="24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538F487" w14:textId="77777777" w:rsidR="00235F89" w:rsidRPr="00EA444B" w:rsidRDefault="00235F89">
            <w:r w:rsidRPr="00EA444B">
              <w:t>NRAO</w:t>
            </w:r>
          </w:p>
        </w:tc>
        <w:tc>
          <w:tcPr>
            <w:tcW w:w="221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509A853" w14:textId="4D48E3AA" w:rsidR="00235F89" w:rsidRPr="00EA444B" w:rsidRDefault="00C76750">
            <w:r>
              <w:t>9/30/2022</w:t>
            </w:r>
          </w:p>
        </w:tc>
      </w:tr>
    </w:tbl>
    <w:p w14:paraId="4FCA267B" w14:textId="77777777" w:rsidR="00235F89" w:rsidRPr="00EA444B" w:rsidRDefault="00235F89" w:rsidP="001812E3"/>
    <w:p w14:paraId="19332B35" w14:textId="77777777" w:rsidR="00235F89" w:rsidRPr="00EA444B" w:rsidRDefault="00235F89"/>
    <w:p w14:paraId="267653E9" w14:textId="77777777" w:rsidR="00235F89" w:rsidRPr="00EA444B" w:rsidRDefault="00235F89"/>
    <w:p w14:paraId="247DD42F" w14:textId="77777777" w:rsidR="00235F89" w:rsidRPr="00441A36" w:rsidRDefault="00235F89" w:rsidP="00441A36">
      <w:pPr>
        <w:pStyle w:val="Heading"/>
        <w:rPr>
          <w:b/>
        </w:rPr>
      </w:pPr>
      <w:r w:rsidRPr="00EA444B">
        <w:br w:type="column"/>
      </w:r>
      <w:r w:rsidRPr="00441A36">
        <w:rPr>
          <w:rFonts w:ascii="Gill Sans MT" w:hAnsi="Gill Sans MT"/>
          <w:b/>
        </w:rPr>
        <w:lastRenderedPageBreak/>
        <w:t>Change Record</w:t>
      </w:r>
    </w:p>
    <w:p w14:paraId="1986593D" w14:textId="2704A015" w:rsidR="00235F89" w:rsidRPr="00EA444B" w:rsidRDefault="00235F89"/>
    <w:tbl>
      <w:tblPr>
        <w:tblW w:w="9709" w:type="dxa"/>
        <w:tblInd w:w="-10" w:type="dxa"/>
        <w:tblBorders>
          <w:top w:val="doub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749"/>
        <w:gridCol w:w="2158"/>
        <w:gridCol w:w="5802"/>
      </w:tblGrid>
      <w:tr w:rsidR="00235F89" w:rsidRPr="00EA444B" w14:paraId="2CAA5752" w14:textId="77777777" w:rsidTr="006F4BCC">
        <w:trPr>
          <w:trHeight w:val="297"/>
        </w:trPr>
        <w:tc>
          <w:tcPr>
            <w:tcW w:w="1749" w:type="dxa"/>
            <w:tcBorders>
              <w:top w:val="doub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21A45F6" w14:textId="77777777" w:rsidR="00235F89" w:rsidRPr="00EA444B" w:rsidRDefault="00235F89">
            <w:pPr>
              <w:pStyle w:val="NormalWeb"/>
            </w:pPr>
            <w:r w:rsidRPr="00EA444B">
              <w:t>VERSION</w:t>
            </w:r>
          </w:p>
        </w:tc>
        <w:tc>
          <w:tcPr>
            <w:tcW w:w="2158" w:type="dxa"/>
            <w:tcBorders>
              <w:top w:val="doub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4FACF2C" w14:textId="77777777" w:rsidR="00235F89" w:rsidRPr="00EA444B" w:rsidRDefault="00235F89">
            <w:pPr>
              <w:pStyle w:val="NormalWeb"/>
            </w:pPr>
            <w:r w:rsidRPr="00EA444B">
              <w:t>DATE</w:t>
            </w:r>
          </w:p>
        </w:tc>
        <w:tc>
          <w:tcPr>
            <w:tcW w:w="5802" w:type="dxa"/>
            <w:tcBorders>
              <w:top w:val="doub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4EABEE6" w14:textId="77777777" w:rsidR="00235F89" w:rsidRPr="00EA444B" w:rsidRDefault="00235F89">
            <w:pPr>
              <w:pStyle w:val="NormalWeb"/>
            </w:pPr>
            <w:r w:rsidRPr="00EA444B">
              <w:t>REASON</w:t>
            </w:r>
          </w:p>
        </w:tc>
      </w:tr>
      <w:tr w:rsidR="00235F89" w:rsidRPr="00EA444B" w14:paraId="310E73C9" w14:textId="77777777" w:rsidTr="006F4BCC">
        <w:trPr>
          <w:trHeight w:val="314"/>
        </w:trPr>
        <w:tc>
          <w:tcPr>
            <w:tcW w:w="17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DE4AF7F" w14:textId="4981703D" w:rsidR="00235F89" w:rsidRPr="00EA444B" w:rsidRDefault="00AD1410" w:rsidP="001812E3">
            <w:pPr>
              <w:pStyle w:val="NormalWeb"/>
            </w:pPr>
            <w:r>
              <w:t>1.0</w:t>
            </w: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92D5248" w14:textId="7EA8B51A" w:rsidR="00235F89" w:rsidRPr="00EA444B" w:rsidRDefault="00792649">
            <w:pPr>
              <w:pStyle w:val="NormalWeb"/>
            </w:pPr>
            <w:r>
              <w:t>7/5/2022</w:t>
            </w:r>
          </w:p>
        </w:tc>
        <w:tc>
          <w:tcPr>
            <w:tcW w:w="5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BA8860" w14:textId="059A4595" w:rsidR="00235F89" w:rsidRPr="00EA444B" w:rsidRDefault="00AD1410">
            <w:pPr>
              <w:pStyle w:val="NormalWeb"/>
            </w:pPr>
            <w:r>
              <w:t>Initial D</w:t>
            </w:r>
            <w:r w:rsidR="00213990">
              <w:t>raft</w:t>
            </w:r>
            <w:r>
              <w:t xml:space="preserve"> </w:t>
            </w:r>
          </w:p>
        </w:tc>
      </w:tr>
      <w:tr w:rsidR="00235F89" w:rsidRPr="00EA444B" w14:paraId="43A90D25" w14:textId="77777777" w:rsidTr="006F4BCC">
        <w:trPr>
          <w:trHeight w:val="314"/>
        </w:trPr>
        <w:tc>
          <w:tcPr>
            <w:tcW w:w="17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27CC69B" w14:textId="424CCA32" w:rsidR="00235F89" w:rsidRPr="00EA444B" w:rsidRDefault="00C60138" w:rsidP="001812E3">
            <w:pPr>
              <w:pStyle w:val="NormalWeb"/>
            </w:pPr>
            <w:r>
              <w:t>1.1</w:t>
            </w: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7DBE0F4" w14:textId="3FA2CB6E" w:rsidR="00235F89" w:rsidRPr="00EA444B" w:rsidRDefault="00C76750">
            <w:pPr>
              <w:pStyle w:val="NormalWeb"/>
            </w:pPr>
            <w:r>
              <w:t>7</w:t>
            </w:r>
            <w:r w:rsidR="00C60138">
              <w:t>/</w:t>
            </w:r>
            <w:r w:rsidR="00DC59D8">
              <w:t>15</w:t>
            </w:r>
            <w:r w:rsidR="00C60138">
              <w:t>/202</w:t>
            </w:r>
            <w:r>
              <w:t>2</w:t>
            </w:r>
          </w:p>
        </w:tc>
        <w:tc>
          <w:tcPr>
            <w:tcW w:w="5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51D6C5" w14:textId="4313606B" w:rsidR="00235F89" w:rsidRPr="00EA444B" w:rsidRDefault="00C60138">
            <w:pPr>
              <w:pStyle w:val="NormalWeb"/>
            </w:pPr>
            <w:r>
              <w:t xml:space="preserve">First draft to solicit </w:t>
            </w:r>
            <w:r w:rsidR="00213990">
              <w:t xml:space="preserve">GBO </w:t>
            </w:r>
            <w:r>
              <w:t>Division Head submissions (Bloss)</w:t>
            </w:r>
          </w:p>
        </w:tc>
      </w:tr>
      <w:tr w:rsidR="007A432C" w:rsidRPr="00EA444B" w14:paraId="23842BB2" w14:textId="77777777" w:rsidTr="006F4BCC">
        <w:trPr>
          <w:trHeight w:val="314"/>
        </w:trPr>
        <w:tc>
          <w:tcPr>
            <w:tcW w:w="17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EAF3D48" w14:textId="3EEEEB32" w:rsidR="007A432C" w:rsidRPr="00EA444B" w:rsidRDefault="00C60138" w:rsidP="001812E3">
            <w:pPr>
              <w:pStyle w:val="NormalWeb"/>
            </w:pPr>
            <w:r>
              <w:t>1.2</w:t>
            </w: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3CEC0EF" w14:textId="1B4CE159" w:rsidR="007A432C" w:rsidRPr="00EA444B" w:rsidRDefault="00792649">
            <w:pPr>
              <w:pStyle w:val="NormalWeb"/>
            </w:pPr>
            <w:r>
              <w:t>8/10</w:t>
            </w:r>
            <w:r w:rsidR="00C60138">
              <w:t>/202</w:t>
            </w:r>
            <w:r w:rsidR="00C76750">
              <w:t>2</w:t>
            </w:r>
          </w:p>
        </w:tc>
        <w:tc>
          <w:tcPr>
            <w:tcW w:w="5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DCC5920" w14:textId="4D268F77" w:rsidR="007A432C" w:rsidRPr="00EA444B" w:rsidRDefault="00C60138">
            <w:pPr>
              <w:pStyle w:val="NormalWeb"/>
            </w:pPr>
            <w:r>
              <w:t>Draft with Div</w:t>
            </w:r>
            <w:r w:rsidR="00213990">
              <w:t>ision</w:t>
            </w:r>
            <w:r>
              <w:t xml:space="preserve"> Head responses (Bloss)</w:t>
            </w:r>
          </w:p>
        </w:tc>
      </w:tr>
      <w:tr w:rsidR="006F4BCC" w:rsidRPr="00EA444B" w14:paraId="6F3E8E80" w14:textId="77777777" w:rsidTr="006F4BCC">
        <w:trPr>
          <w:trHeight w:val="314"/>
        </w:trPr>
        <w:tc>
          <w:tcPr>
            <w:tcW w:w="17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11DAACD" w14:textId="7681801A" w:rsidR="006F4BCC" w:rsidRPr="00EA444B" w:rsidRDefault="003A1568" w:rsidP="001812E3">
            <w:pPr>
              <w:pStyle w:val="NormalWeb"/>
            </w:pPr>
            <w:r>
              <w:t>1.</w:t>
            </w:r>
            <w:r w:rsidR="00274786">
              <w:t>3</w:t>
            </w: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A2E5A9B" w14:textId="72343DF2" w:rsidR="006F4BCC" w:rsidRPr="00EA444B" w:rsidRDefault="003A1568">
            <w:pPr>
              <w:pStyle w:val="NormalWeb"/>
            </w:pPr>
            <w:r>
              <w:t>8/</w:t>
            </w:r>
            <w:r w:rsidR="00792649">
              <w:t>23</w:t>
            </w:r>
            <w:r>
              <w:t>/202</w:t>
            </w:r>
            <w:r w:rsidR="00C76750">
              <w:t>2</w:t>
            </w:r>
          </w:p>
        </w:tc>
        <w:tc>
          <w:tcPr>
            <w:tcW w:w="5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F56C7DE" w14:textId="6303D425" w:rsidR="006F4BCC" w:rsidRPr="00EA444B" w:rsidRDefault="003A1568">
            <w:pPr>
              <w:pStyle w:val="NormalWeb"/>
            </w:pPr>
            <w:r>
              <w:t>Director comments addressed (Bloss)</w:t>
            </w:r>
          </w:p>
        </w:tc>
      </w:tr>
      <w:tr w:rsidR="006F4BCC" w:rsidRPr="00EA444B" w14:paraId="2C25D634" w14:textId="77777777" w:rsidTr="006F4BCC">
        <w:trPr>
          <w:trHeight w:val="314"/>
        </w:trPr>
        <w:tc>
          <w:tcPr>
            <w:tcW w:w="17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FE41CF5" w14:textId="72BBB139" w:rsidR="006F4BCC" w:rsidRPr="00EA444B" w:rsidRDefault="00A652FB" w:rsidP="001812E3">
            <w:pPr>
              <w:pStyle w:val="NormalWeb"/>
            </w:pPr>
            <w:r>
              <w:t>1.4</w:t>
            </w: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D379EE0" w14:textId="6C631B65" w:rsidR="006F4BCC" w:rsidRPr="00EA444B" w:rsidRDefault="00A652FB">
            <w:pPr>
              <w:pStyle w:val="NormalWeb"/>
            </w:pPr>
            <w:r>
              <w:t>8/</w:t>
            </w:r>
            <w:r w:rsidR="00792649">
              <w:t>26</w:t>
            </w:r>
            <w:r>
              <w:t>/202</w:t>
            </w:r>
            <w:r w:rsidR="00C76750">
              <w:t>2</w:t>
            </w:r>
          </w:p>
        </w:tc>
        <w:tc>
          <w:tcPr>
            <w:tcW w:w="5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9D6AFDF" w14:textId="7DB5F4F2" w:rsidR="006F4BCC" w:rsidRPr="00EA444B" w:rsidRDefault="00A652FB">
            <w:pPr>
              <w:pStyle w:val="NormalWeb"/>
            </w:pPr>
            <w:r>
              <w:t xml:space="preserve">Final resolution of open comments </w:t>
            </w:r>
          </w:p>
        </w:tc>
      </w:tr>
      <w:tr w:rsidR="006F4BCC" w:rsidRPr="00EA444B" w14:paraId="7E8B8F1D" w14:textId="77777777" w:rsidTr="006F4BCC">
        <w:trPr>
          <w:trHeight w:val="328"/>
        </w:trPr>
        <w:tc>
          <w:tcPr>
            <w:tcW w:w="17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A43F836" w14:textId="3211BDD4" w:rsidR="006F4BCC" w:rsidRPr="00EA444B" w:rsidRDefault="001D7DC3" w:rsidP="001812E3">
            <w:pPr>
              <w:pStyle w:val="NormalWeb"/>
            </w:pPr>
            <w:r>
              <w:t>2.0</w:t>
            </w: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961B10" w14:textId="37D2419A" w:rsidR="006F4BCC" w:rsidRPr="00EA444B" w:rsidRDefault="001D7DC3">
            <w:pPr>
              <w:pStyle w:val="NormalWeb"/>
            </w:pPr>
            <w:r>
              <w:t>8/30/202</w:t>
            </w:r>
            <w:r w:rsidR="00C76750">
              <w:t>2</w:t>
            </w:r>
          </w:p>
        </w:tc>
        <w:tc>
          <w:tcPr>
            <w:tcW w:w="5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59920C9" w14:textId="319AF8F3" w:rsidR="006F4BCC" w:rsidRPr="00EA444B" w:rsidRDefault="001D7DC3">
            <w:pPr>
              <w:pStyle w:val="NormalWeb"/>
            </w:pPr>
            <w:r>
              <w:t>Final GBO edits and submitted to NRAO Documents Office</w:t>
            </w:r>
          </w:p>
        </w:tc>
      </w:tr>
      <w:tr w:rsidR="00235F89" w:rsidRPr="00EA444B" w14:paraId="44E5A298" w14:textId="77777777" w:rsidTr="006F4BCC">
        <w:trPr>
          <w:trHeight w:val="328"/>
        </w:trPr>
        <w:tc>
          <w:tcPr>
            <w:tcW w:w="17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85D797" w14:textId="5A6F898B" w:rsidR="00235F89" w:rsidRPr="00EA444B" w:rsidRDefault="0009129E" w:rsidP="001812E3">
            <w:pPr>
              <w:pStyle w:val="NormalWeb"/>
            </w:pPr>
            <w:r>
              <w:t>2.1</w:t>
            </w: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1AC85F7" w14:textId="64E1AA76" w:rsidR="00235F89" w:rsidRPr="00EA444B" w:rsidRDefault="0009129E">
            <w:pPr>
              <w:pStyle w:val="NormalWeb"/>
            </w:pPr>
            <w:r>
              <w:t>9/</w:t>
            </w:r>
            <w:r w:rsidR="00C76750">
              <w:t>9</w:t>
            </w:r>
            <w:r>
              <w:t>/202</w:t>
            </w:r>
            <w:r w:rsidR="00C76750">
              <w:t>2</w:t>
            </w:r>
          </w:p>
        </w:tc>
        <w:tc>
          <w:tcPr>
            <w:tcW w:w="5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29BFA7E" w14:textId="4ADA1820" w:rsidR="00235F89" w:rsidRPr="00EA444B" w:rsidRDefault="00C76750">
            <w:pPr>
              <w:pStyle w:val="NormalWeb"/>
            </w:pPr>
            <w:r>
              <w:t>CA review/NRAO Director review</w:t>
            </w:r>
          </w:p>
        </w:tc>
      </w:tr>
      <w:tr w:rsidR="00235F89" w:rsidRPr="00EA444B" w14:paraId="2A46D471" w14:textId="77777777" w:rsidTr="006F4BCC">
        <w:trPr>
          <w:trHeight w:val="328"/>
        </w:trPr>
        <w:tc>
          <w:tcPr>
            <w:tcW w:w="17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89B8480" w14:textId="2373FFDC" w:rsidR="00235F89" w:rsidRPr="00EA444B" w:rsidRDefault="00971A7A" w:rsidP="001812E3">
            <w:pPr>
              <w:pStyle w:val="NormalWeb"/>
            </w:pPr>
            <w:r>
              <w:t>2.2</w:t>
            </w: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136EFD4" w14:textId="3FA153E9" w:rsidR="00235F89" w:rsidRPr="00EA444B" w:rsidRDefault="00971A7A">
            <w:pPr>
              <w:pStyle w:val="NormalWeb"/>
            </w:pPr>
            <w:r>
              <w:t>9/2</w:t>
            </w:r>
            <w:r w:rsidR="00C76750">
              <w:t>3</w:t>
            </w:r>
            <w:r>
              <w:t>/202</w:t>
            </w:r>
            <w:r w:rsidR="00C76750">
              <w:t>2</w:t>
            </w:r>
          </w:p>
        </w:tc>
        <w:tc>
          <w:tcPr>
            <w:tcW w:w="5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39B5CDF" w14:textId="3D87AAC1" w:rsidR="00235F89" w:rsidRPr="00EA444B" w:rsidRDefault="00971A7A">
            <w:pPr>
              <w:pStyle w:val="NormalWeb"/>
            </w:pPr>
            <w:r>
              <w:t>Budget Tables Added/Final Review (Bloss)</w:t>
            </w:r>
          </w:p>
        </w:tc>
      </w:tr>
      <w:tr w:rsidR="007A432C" w:rsidRPr="00EA444B" w14:paraId="44F724AD" w14:textId="77777777" w:rsidTr="006F4BCC">
        <w:trPr>
          <w:trHeight w:val="328"/>
        </w:trPr>
        <w:tc>
          <w:tcPr>
            <w:tcW w:w="17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239D0D9" w14:textId="1A4EBE62" w:rsidR="007A432C" w:rsidRPr="00EA444B" w:rsidRDefault="007A432C" w:rsidP="001812E3">
            <w:pPr>
              <w:pStyle w:val="NormalWeb"/>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F0DDAF7" w14:textId="66C1D63D" w:rsidR="007A432C" w:rsidRPr="00EA444B" w:rsidRDefault="007A432C">
            <w:pPr>
              <w:pStyle w:val="NormalWeb"/>
            </w:pPr>
          </w:p>
        </w:tc>
        <w:tc>
          <w:tcPr>
            <w:tcW w:w="5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196102C" w14:textId="17C11EA8" w:rsidR="007A432C" w:rsidRPr="00EA444B" w:rsidRDefault="007A432C">
            <w:pPr>
              <w:pStyle w:val="NormalWeb"/>
            </w:pPr>
          </w:p>
        </w:tc>
      </w:tr>
      <w:tr w:rsidR="007A432C" w:rsidRPr="00EA444B" w14:paraId="4325AE6C" w14:textId="77777777" w:rsidTr="006F4BCC">
        <w:trPr>
          <w:trHeight w:val="328"/>
        </w:trPr>
        <w:tc>
          <w:tcPr>
            <w:tcW w:w="17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46DFA1" w14:textId="59EA8300" w:rsidR="007A432C" w:rsidRPr="00EA444B" w:rsidRDefault="007A432C" w:rsidP="001812E3">
            <w:pPr>
              <w:pStyle w:val="NormalWeb"/>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31FE1B13" w14:textId="2E483FFC" w:rsidR="007A432C" w:rsidRPr="00EA444B" w:rsidRDefault="007A432C">
            <w:pPr>
              <w:pStyle w:val="NormalWeb"/>
            </w:pPr>
          </w:p>
        </w:tc>
        <w:tc>
          <w:tcPr>
            <w:tcW w:w="5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617DD7" w14:textId="3544DFBE" w:rsidR="007A432C" w:rsidRPr="00EA444B" w:rsidRDefault="007A432C">
            <w:pPr>
              <w:pStyle w:val="NormalWeb"/>
            </w:pPr>
          </w:p>
        </w:tc>
      </w:tr>
      <w:tr w:rsidR="00176FAF" w:rsidRPr="00EA444B" w14:paraId="5C27A9ED" w14:textId="77777777" w:rsidTr="006F4BCC">
        <w:trPr>
          <w:trHeight w:val="328"/>
        </w:trPr>
        <w:tc>
          <w:tcPr>
            <w:tcW w:w="17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49306F0" w14:textId="1EC715B6" w:rsidR="00176FAF" w:rsidRPr="00EA444B" w:rsidRDefault="00176FAF" w:rsidP="001812E3">
            <w:pPr>
              <w:pStyle w:val="NormalWeb"/>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77DF5BD" w14:textId="2C965852" w:rsidR="00176FAF" w:rsidRPr="00EA444B" w:rsidRDefault="00176FAF">
            <w:pPr>
              <w:pStyle w:val="NormalWeb"/>
            </w:pPr>
          </w:p>
        </w:tc>
        <w:tc>
          <w:tcPr>
            <w:tcW w:w="5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26491141" w14:textId="24CB76B9" w:rsidR="00176FAF" w:rsidRPr="00EA444B" w:rsidRDefault="00176FAF">
            <w:pPr>
              <w:pStyle w:val="NormalWeb"/>
            </w:pPr>
          </w:p>
        </w:tc>
      </w:tr>
      <w:tr w:rsidR="00364B6E" w:rsidRPr="00EA444B" w14:paraId="254DD512" w14:textId="77777777" w:rsidTr="006F4BCC">
        <w:trPr>
          <w:trHeight w:val="328"/>
        </w:trPr>
        <w:tc>
          <w:tcPr>
            <w:tcW w:w="17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BAEC4B2" w14:textId="77777777" w:rsidR="00364B6E" w:rsidRPr="00EA444B" w:rsidRDefault="00364B6E" w:rsidP="001812E3">
            <w:pPr>
              <w:pStyle w:val="NormalWeb"/>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ABCC00D" w14:textId="77777777" w:rsidR="00364B6E" w:rsidRPr="00EA444B" w:rsidRDefault="00364B6E">
            <w:pPr>
              <w:pStyle w:val="NormalWeb"/>
            </w:pPr>
          </w:p>
        </w:tc>
        <w:tc>
          <w:tcPr>
            <w:tcW w:w="5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6206EF8" w14:textId="77777777" w:rsidR="00364B6E" w:rsidRPr="00EA444B" w:rsidRDefault="00364B6E">
            <w:pPr>
              <w:pStyle w:val="NormalWeb"/>
            </w:pPr>
          </w:p>
        </w:tc>
      </w:tr>
      <w:tr w:rsidR="00B3360E" w:rsidRPr="00EA444B" w14:paraId="1B56C456" w14:textId="77777777" w:rsidTr="006F4BCC">
        <w:trPr>
          <w:trHeight w:val="328"/>
        </w:trPr>
        <w:tc>
          <w:tcPr>
            <w:tcW w:w="17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4464718" w14:textId="77777777" w:rsidR="00B3360E" w:rsidRDefault="00B3360E" w:rsidP="001812E3">
            <w:pPr>
              <w:pStyle w:val="NormalWeb"/>
            </w:pPr>
          </w:p>
          <w:p w14:paraId="1E5606EA" w14:textId="6AB6DCEC" w:rsidR="00B3360E" w:rsidRPr="00EA444B" w:rsidRDefault="00B3360E" w:rsidP="001812E3">
            <w:pPr>
              <w:pStyle w:val="NormalWeb"/>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54001E" w14:textId="77777777" w:rsidR="00B3360E" w:rsidRPr="00EA444B" w:rsidRDefault="00B3360E">
            <w:pPr>
              <w:pStyle w:val="NormalWeb"/>
            </w:pPr>
          </w:p>
        </w:tc>
        <w:tc>
          <w:tcPr>
            <w:tcW w:w="5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295792E" w14:textId="77777777" w:rsidR="00B3360E" w:rsidRPr="00EA444B" w:rsidRDefault="00B3360E">
            <w:pPr>
              <w:pStyle w:val="NormalWeb"/>
            </w:pPr>
          </w:p>
        </w:tc>
      </w:tr>
      <w:tr w:rsidR="00A25D57" w:rsidRPr="00EA444B" w14:paraId="124D7461" w14:textId="77777777" w:rsidTr="006F4BCC">
        <w:trPr>
          <w:trHeight w:val="328"/>
        </w:trPr>
        <w:tc>
          <w:tcPr>
            <w:tcW w:w="17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DFE123C" w14:textId="77777777" w:rsidR="00A25D57" w:rsidRDefault="00A25D57" w:rsidP="001812E3">
            <w:pPr>
              <w:pStyle w:val="NormalWeb"/>
            </w:pPr>
          </w:p>
        </w:tc>
        <w:tc>
          <w:tcPr>
            <w:tcW w:w="215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470E6E4C" w14:textId="77777777" w:rsidR="00A25D57" w:rsidRPr="00EA444B" w:rsidRDefault="00A25D57">
            <w:pPr>
              <w:pStyle w:val="NormalWeb"/>
            </w:pPr>
          </w:p>
        </w:tc>
        <w:tc>
          <w:tcPr>
            <w:tcW w:w="5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0FAA4609" w14:textId="77777777" w:rsidR="00A25D57" w:rsidRPr="00EA444B" w:rsidRDefault="00A25D57">
            <w:pPr>
              <w:pStyle w:val="NormalWeb"/>
            </w:pPr>
          </w:p>
        </w:tc>
      </w:tr>
    </w:tbl>
    <w:sdt>
      <w:sdtPr>
        <w:rPr>
          <w:rFonts w:ascii="Arial" w:hAnsi="Arial"/>
          <w:b/>
          <w:bCs/>
          <w:iCs/>
          <w:caps/>
          <w:color w:val="00000A"/>
          <w:sz w:val="28"/>
        </w:rPr>
        <w:id w:val="210312622"/>
        <w:docPartObj>
          <w:docPartGallery w:val="Table of Contents"/>
          <w:docPartUnique/>
        </w:docPartObj>
      </w:sdtPr>
      <w:sdtEndPr>
        <w:rPr>
          <w:rFonts w:ascii="Gill Sans MT" w:hAnsi="Gill Sans MT"/>
          <w:bCs w:val="0"/>
          <w:iCs w:val="0"/>
          <w:caps w:val="0"/>
          <w:noProof/>
          <w:color w:val="auto"/>
        </w:rPr>
      </w:sdtEndPr>
      <w:sdtContent>
        <w:p w14:paraId="2EAF4C8D" w14:textId="40AC3819" w:rsidR="00A25D57" w:rsidRPr="00B55D0A" w:rsidRDefault="00A25D57" w:rsidP="00B55D0A"/>
        <w:p w14:paraId="29F0DB45" w14:textId="77777777" w:rsidR="00A25D57" w:rsidRDefault="00A25D57" w:rsidP="00B55D0A">
          <w:pPr>
            <w:rPr>
              <w:rFonts w:ascii="Arial" w:hAnsi="Arial"/>
              <w:b/>
              <w:color w:val="00000A"/>
            </w:rPr>
          </w:pPr>
          <w:r>
            <w:rPr>
              <w:rFonts w:ascii="Arial" w:hAnsi="Arial"/>
              <w:bCs/>
              <w:iCs/>
              <w:caps/>
              <w:color w:val="00000A"/>
            </w:rPr>
            <w:br w:type="page"/>
          </w:r>
        </w:p>
        <w:p w14:paraId="53788A56" w14:textId="3183F734" w:rsidR="00FE7B52" w:rsidRPr="00B55D0A" w:rsidRDefault="00FE7B52" w:rsidP="00B55D0A">
          <w:pPr>
            <w:rPr>
              <w:b/>
              <w:sz w:val="28"/>
              <w:szCs w:val="28"/>
            </w:rPr>
          </w:pPr>
          <w:r w:rsidRPr="00B55D0A">
            <w:rPr>
              <w:b/>
              <w:sz w:val="28"/>
              <w:szCs w:val="28"/>
            </w:rPr>
            <w:lastRenderedPageBreak/>
            <w:t>Table of Contents</w:t>
          </w:r>
          <w:bookmarkEnd w:id="0"/>
        </w:p>
        <w:p w14:paraId="5C1A8D98" w14:textId="330F1E71" w:rsidR="00C639EA" w:rsidRDefault="00433650">
          <w:pPr>
            <w:pStyle w:val="TOC1"/>
            <w:rPr>
              <w:rFonts w:asciiTheme="minorHAnsi" w:eastAsiaTheme="minorEastAsia" w:hAnsiTheme="minorHAnsi"/>
              <w:b w:val="0"/>
              <w:noProof/>
              <w:sz w:val="22"/>
            </w:rPr>
          </w:pPr>
          <w:r w:rsidRPr="0001603E">
            <w:rPr>
              <w:noProof/>
              <w:sz w:val="20"/>
              <w:szCs w:val="20"/>
            </w:rPr>
            <w:fldChar w:fldCharType="begin"/>
          </w:r>
          <w:r w:rsidRPr="0001603E">
            <w:rPr>
              <w:noProof/>
              <w:sz w:val="20"/>
              <w:szCs w:val="20"/>
            </w:rPr>
            <w:instrText xml:space="preserve"> TOC \o "1-2" \h \z \u </w:instrText>
          </w:r>
          <w:r w:rsidRPr="0001603E">
            <w:rPr>
              <w:noProof/>
              <w:sz w:val="20"/>
              <w:szCs w:val="20"/>
            </w:rPr>
            <w:fldChar w:fldCharType="separate"/>
          </w:r>
          <w:hyperlink w:anchor="_Toc83886099" w:history="1">
            <w:r w:rsidR="00C639EA" w:rsidRPr="00075A37">
              <w:rPr>
                <w:rStyle w:val="Hyperlink"/>
                <w:noProof/>
              </w:rPr>
              <w:t>1</w:t>
            </w:r>
            <w:r w:rsidR="00C639EA">
              <w:rPr>
                <w:rFonts w:asciiTheme="minorHAnsi" w:eastAsiaTheme="minorEastAsia" w:hAnsiTheme="minorHAnsi"/>
                <w:b w:val="0"/>
                <w:noProof/>
                <w:sz w:val="22"/>
              </w:rPr>
              <w:tab/>
            </w:r>
            <w:r w:rsidR="00C639EA" w:rsidRPr="00075A37">
              <w:rPr>
                <w:rStyle w:val="Hyperlink"/>
                <w:noProof/>
              </w:rPr>
              <w:t>EXECUTIVE SUMMARY</w:t>
            </w:r>
            <w:r w:rsidR="00C639EA">
              <w:rPr>
                <w:noProof/>
                <w:webHidden/>
              </w:rPr>
              <w:tab/>
            </w:r>
            <w:r w:rsidR="00C639EA">
              <w:rPr>
                <w:noProof/>
                <w:webHidden/>
              </w:rPr>
              <w:fldChar w:fldCharType="begin"/>
            </w:r>
            <w:r w:rsidR="00C639EA">
              <w:rPr>
                <w:noProof/>
                <w:webHidden/>
              </w:rPr>
              <w:instrText xml:space="preserve"> PAGEREF _Toc83886099 \h </w:instrText>
            </w:r>
            <w:r w:rsidR="00C639EA">
              <w:rPr>
                <w:noProof/>
                <w:webHidden/>
              </w:rPr>
            </w:r>
            <w:r w:rsidR="00C639EA">
              <w:rPr>
                <w:noProof/>
                <w:webHidden/>
              </w:rPr>
              <w:fldChar w:fldCharType="separate"/>
            </w:r>
            <w:r w:rsidR="00103FC3">
              <w:rPr>
                <w:noProof/>
                <w:webHidden/>
              </w:rPr>
              <w:t>6</w:t>
            </w:r>
            <w:r w:rsidR="00C639EA">
              <w:rPr>
                <w:noProof/>
                <w:webHidden/>
              </w:rPr>
              <w:fldChar w:fldCharType="end"/>
            </w:r>
          </w:hyperlink>
        </w:p>
        <w:p w14:paraId="01B6D57E" w14:textId="0108E5C6" w:rsidR="00C639EA" w:rsidRDefault="00626CD5">
          <w:pPr>
            <w:pStyle w:val="TOC2"/>
            <w:rPr>
              <w:rFonts w:asciiTheme="minorHAnsi" w:eastAsiaTheme="minorEastAsia" w:hAnsiTheme="minorHAnsi"/>
              <w:noProof/>
            </w:rPr>
          </w:pPr>
          <w:hyperlink w:anchor="_Toc83886100" w:history="1">
            <w:r w:rsidR="00C639EA" w:rsidRPr="00075A37">
              <w:rPr>
                <w:rStyle w:val="Hyperlink"/>
                <w:noProof/>
                <w14:scene3d>
                  <w14:camera w14:prst="orthographicFront"/>
                  <w14:lightRig w14:rig="threePt" w14:dir="t">
                    <w14:rot w14:lat="0" w14:lon="0" w14:rev="0"/>
                  </w14:lightRig>
                </w14:scene3d>
              </w:rPr>
              <w:t>1.1</w:t>
            </w:r>
            <w:r w:rsidR="00C639EA">
              <w:rPr>
                <w:rFonts w:asciiTheme="minorHAnsi" w:eastAsiaTheme="minorEastAsia" w:hAnsiTheme="minorHAnsi"/>
                <w:noProof/>
              </w:rPr>
              <w:tab/>
            </w:r>
            <w:r w:rsidR="00C639EA" w:rsidRPr="00075A37">
              <w:rPr>
                <w:rStyle w:val="Hyperlink"/>
                <w:noProof/>
              </w:rPr>
              <w:t>Strategic Goals</w:t>
            </w:r>
            <w:r w:rsidR="00C639EA">
              <w:rPr>
                <w:noProof/>
                <w:webHidden/>
              </w:rPr>
              <w:tab/>
            </w:r>
            <w:r w:rsidR="00C639EA">
              <w:rPr>
                <w:noProof/>
                <w:webHidden/>
              </w:rPr>
              <w:fldChar w:fldCharType="begin"/>
            </w:r>
            <w:r w:rsidR="00C639EA">
              <w:rPr>
                <w:noProof/>
                <w:webHidden/>
              </w:rPr>
              <w:instrText xml:space="preserve"> PAGEREF _Toc83886100 \h </w:instrText>
            </w:r>
            <w:r w:rsidR="00C639EA">
              <w:rPr>
                <w:noProof/>
                <w:webHidden/>
              </w:rPr>
            </w:r>
            <w:r w:rsidR="00C639EA">
              <w:rPr>
                <w:noProof/>
                <w:webHidden/>
              </w:rPr>
              <w:fldChar w:fldCharType="separate"/>
            </w:r>
            <w:r w:rsidR="00103FC3">
              <w:rPr>
                <w:noProof/>
                <w:webHidden/>
              </w:rPr>
              <w:t>7</w:t>
            </w:r>
            <w:r w:rsidR="00C639EA">
              <w:rPr>
                <w:noProof/>
                <w:webHidden/>
              </w:rPr>
              <w:fldChar w:fldCharType="end"/>
            </w:r>
          </w:hyperlink>
        </w:p>
        <w:p w14:paraId="5E28EB02" w14:textId="7F9F17D7" w:rsidR="00C639EA" w:rsidRDefault="00626CD5">
          <w:pPr>
            <w:pStyle w:val="TOC2"/>
            <w:rPr>
              <w:rFonts w:asciiTheme="minorHAnsi" w:eastAsiaTheme="minorEastAsia" w:hAnsiTheme="minorHAnsi"/>
              <w:noProof/>
            </w:rPr>
          </w:pPr>
          <w:hyperlink w:anchor="_Toc83886101" w:history="1">
            <w:r w:rsidR="00C639EA" w:rsidRPr="00075A37">
              <w:rPr>
                <w:rStyle w:val="Hyperlink"/>
                <w:noProof/>
                <w14:scene3d>
                  <w14:camera w14:prst="orthographicFront"/>
                  <w14:lightRig w14:rig="threePt" w14:dir="t">
                    <w14:rot w14:lat="0" w14:lon="0" w14:rev="0"/>
                  </w14:lightRig>
                </w14:scene3d>
              </w:rPr>
              <w:t>1.2</w:t>
            </w:r>
            <w:r w:rsidR="00C639EA">
              <w:rPr>
                <w:rFonts w:asciiTheme="minorHAnsi" w:eastAsiaTheme="minorEastAsia" w:hAnsiTheme="minorHAnsi"/>
                <w:noProof/>
              </w:rPr>
              <w:tab/>
            </w:r>
            <w:r w:rsidR="00C639EA" w:rsidRPr="00075A37">
              <w:rPr>
                <w:rStyle w:val="Hyperlink"/>
                <w:noProof/>
              </w:rPr>
              <w:t>Introduction to the Plan</w:t>
            </w:r>
            <w:r w:rsidR="00C639EA">
              <w:rPr>
                <w:noProof/>
                <w:webHidden/>
              </w:rPr>
              <w:tab/>
            </w:r>
            <w:r w:rsidR="00C639EA">
              <w:rPr>
                <w:noProof/>
                <w:webHidden/>
              </w:rPr>
              <w:fldChar w:fldCharType="begin"/>
            </w:r>
            <w:r w:rsidR="00C639EA">
              <w:rPr>
                <w:noProof/>
                <w:webHidden/>
              </w:rPr>
              <w:instrText xml:space="preserve"> PAGEREF _Toc83886101 \h </w:instrText>
            </w:r>
            <w:r w:rsidR="00C639EA">
              <w:rPr>
                <w:noProof/>
                <w:webHidden/>
              </w:rPr>
            </w:r>
            <w:r w:rsidR="00C639EA">
              <w:rPr>
                <w:noProof/>
                <w:webHidden/>
              </w:rPr>
              <w:fldChar w:fldCharType="separate"/>
            </w:r>
            <w:r w:rsidR="00103FC3">
              <w:rPr>
                <w:noProof/>
                <w:webHidden/>
              </w:rPr>
              <w:t>7</w:t>
            </w:r>
            <w:r w:rsidR="00C639EA">
              <w:rPr>
                <w:noProof/>
                <w:webHidden/>
              </w:rPr>
              <w:fldChar w:fldCharType="end"/>
            </w:r>
          </w:hyperlink>
        </w:p>
        <w:p w14:paraId="62CC9A52" w14:textId="7F7B294F" w:rsidR="00C639EA" w:rsidRDefault="00626CD5">
          <w:pPr>
            <w:pStyle w:val="TOC2"/>
            <w:rPr>
              <w:rFonts w:asciiTheme="minorHAnsi" w:eastAsiaTheme="minorEastAsia" w:hAnsiTheme="minorHAnsi"/>
              <w:noProof/>
            </w:rPr>
          </w:pPr>
          <w:hyperlink w:anchor="_Toc83886102" w:history="1">
            <w:r w:rsidR="00C639EA" w:rsidRPr="00075A37">
              <w:rPr>
                <w:rStyle w:val="Hyperlink"/>
                <w:noProof/>
                <w14:scene3d>
                  <w14:camera w14:prst="orthographicFront"/>
                  <w14:lightRig w14:rig="threePt" w14:dir="t">
                    <w14:rot w14:lat="0" w14:lon="0" w14:rev="0"/>
                  </w14:lightRig>
                </w14:scene3d>
              </w:rPr>
              <w:t>1.3</w:t>
            </w:r>
            <w:r w:rsidR="00C639EA">
              <w:rPr>
                <w:rFonts w:asciiTheme="minorHAnsi" w:eastAsiaTheme="minorEastAsia" w:hAnsiTheme="minorHAnsi"/>
                <w:noProof/>
              </w:rPr>
              <w:tab/>
            </w:r>
            <w:r w:rsidR="00C639EA" w:rsidRPr="00075A37">
              <w:rPr>
                <w:rStyle w:val="Hyperlink"/>
                <w:noProof/>
              </w:rPr>
              <w:t>Structure of the POP</w:t>
            </w:r>
            <w:r w:rsidR="00C639EA">
              <w:rPr>
                <w:noProof/>
                <w:webHidden/>
              </w:rPr>
              <w:tab/>
            </w:r>
            <w:r w:rsidR="00C639EA">
              <w:rPr>
                <w:noProof/>
                <w:webHidden/>
              </w:rPr>
              <w:fldChar w:fldCharType="begin"/>
            </w:r>
            <w:r w:rsidR="00C639EA">
              <w:rPr>
                <w:noProof/>
                <w:webHidden/>
              </w:rPr>
              <w:instrText xml:space="preserve"> PAGEREF _Toc83886102 \h </w:instrText>
            </w:r>
            <w:r w:rsidR="00C639EA">
              <w:rPr>
                <w:noProof/>
                <w:webHidden/>
              </w:rPr>
            </w:r>
            <w:r w:rsidR="00C639EA">
              <w:rPr>
                <w:noProof/>
                <w:webHidden/>
              </w:rPr>
              <w:fldChar w:fldCharType="separate"/>
            </w:r>
            <w:r w:rsidR="00103FC3">
              <w:rPr>
                <w:noProof/>
                <w:webHidden/>
              </w:rPr>
              <w:t>8</w:t>
            </w:r>
            <w:r w:rsidR="00C639EA">
              <w:rPr>
                <w:noProof/>
                <w:webHidden/>
              </w:rPr>
              <w:fldChar w:fldCharType="end"/>
            </w:r>
          </w:hyperlink>
        </w:p>
        <w:p w14:paraId="5E493087" w14:textId="3CF495A1" w:rsidR="00C639EA" w:rsidRDefault="00626CD5">
          <w:pPr>
            <w:pStyle w:val="TOC1"/>
            <w:rPr>
              <w:rFonts w:asciiTheme="minorHAnsi" w:eastAsiaTheme="minorEastAsia" w:hAnsiTheme="minorHAnsi"/>
              <w:b w:val="0"/>
              <w:noProof/>
              <w:sz w:val="22"/>
            </w:rPr>
          </w:pPr>
          <w:hyperlink w:anchor="_Toc83886103" w:history="1">
            <w:r w:rsidR="00C639EA" w:rsidRPr="00075A37">
              <w:rPr>
                <w:rStyle w:val="Hyperlink"/>
                <w:noProof/>
              </w:rPr>
              <w:t>2</w:t>
            </w:r>
            <w:r w:rsidR="00C639EA">
              <w:rPr>
                <w:rFonts w:asciiTheme="minorHAnsi" w:eastAsiaTheme="minorEastAsia" w:hAnsiTheme="minorHAnsi"/>
                <w:b w:val="0"/>
                <w:noProof/>
                <w:sz w:val="22"/>
              </w:rPr>
              <w:tab/>
            </w:r>
            <w:r w:rsidR="00C639EA" w:rsidRPr="00075A37">
              <w:rPr>
                <w:rStyle w:val="Hyperlink"/>
                <w:noProof/>
              </w:rPr>
              <w:t>TRANSFORMATIONAL SCIENCE WITH THE GBT</w:t>
            </w:r>
            <w:r w:rsidR="00C639EA">
              <w:rPr>
                <w:noProof/>
                <w:webHidden/>
              </w:rPr>
              <w:tab/>
            </w:r>
            <w:r w:rsidR="00C639EA">
              <w:rPr>
                <w:noProof/>
                <w:webHidden/>
              </w:rPr>
              <w:fldChar w:fldCharType="begin"/>
            </w:r>
            <w:r w:rsidR="00C639EA">
              <w:rPr>
                <w:noProof/>
                <w:webHidden/>
              </w:rPr>
              <w:instrText xml:space="preserve"> PAGEREF _Toc83886103 \h </w:instrText>
            </w:r>
            <w:r w:rsidR="00C639EA">
              <w:rPr>
                <w:noProof/>
                <w:webHidden/>
              </w:rPr>
            </w:r>
            <w:r w:rsidR="00C639EA">
              <w:rPr>
                <w:noProof/>
                <w:webHidden/>
              </w:rPr>
              <w:fldChar w:fldCharType="separate"/>
            </w:r>
            <w:r w:rsidR="00103FC3">
              <w:rPr>
                <w:noProof/>
                <w:webHidden/>
              </w:rPr>
              <w:t>9</w:t>
            </w:r>
            <w:r w:rsidR="00C639EA">
              <w:rPr>
                <w:noProof/>
                <w:webHidden/>
              </w:rPr>
              <w:fldChar w:fldCharType="end"/>
            </w:r>
          </w:hyperlink>
        </w:p>
        <w:p w14:paraId="38D784BC" w14:textId="0FC7BF02" w:rsidR="00C639EA" w:rsidRDefault="00626CD5">
          <w:pPr>
            <w:pStyle w:val="TOC2"/>
            <w:rPr>
              <w:rFonts w:asciiTheme="minorHAnsi" w:eastAsiaTheme="minorEastAsia" w:hAnsiTheme="minorHAnsi"/>
              <w:noProof/>
            </w:rPr>
          </w:pPr>
          <w:hyperlink w:anchor="_Toc83886104" w:history="1">
            <w:r w:rsidR="00C639EA" w:rsidRPr="00075A37">
              <w:rPr>
                <w:rStyle w:val="Hyperlink"/>
                <w:noProof/>
                <w14:scene3d>
                  <w14:camera w14:prst="orthographicFront"/>
                  <w14:lightRig w14:rig="threePt" w14:dir="t">
                    <w14:rot w14:lat="0" w14:lon="0" w14:rev="0"/>
                  </w14:lightRig>
                </w14:scene3d>
              </w:rPr>
              <w:t>2.1</w:t>
            </w:r>
            <w:r w:rsidR="00C639EA">
              <w:rPr>
                <w:rFonts w:asciiTheme="minorHAnsi" w:eastAsiaTheme="minorEastAsia" w:hAnsiTheme="minorHAnsi"/>
                <w:noProof/>
              </w:rPr>
              <w:tab/>
            </w:r>
            <w:r w:rsidR="00C639EA" w:rsidRPr="00075A37">
              <w:rPr>
                <w:rStyle w:val="Hyperlink"/>
                <w:noProof/>
              </w:rPr>
              <w:t>Star Formation and Evolution</w:t>
            </w:r>
            <w:r w:rsidR="00C639EA">
              <w:rPr>
                <w:noProof/>
                <w:webHidden/>
              </w:rPr>
              <w:tab/>
            </w:r>
            <w:r w:rsidR="00C639EA">
              <w:rPr>
                <w:noProof/>
                <w:webHidden/>
              </w:rPr>
              <w:fldChar w:fldCharType="begin"/>
            </w:r>
            <w:r w:rsidR="00C639EA">
              <w:rPr>
                <w:noProof/>
                <w:webHidden/>
              </w:rPr>
              <w:instrText xml:space="preserve"> PAGEREF _Toc83886104 \h </w:instrText>
            </w:r>
            <w:r w:rsidR="00C639EA">
              <w:rPr>
                <w:noProof/>
                <w:webHidden/>
              </w:rPr>
            </w:r>
            <w:r w:rsidR="00C639EA">
              <w:rPr>
                <w:noProof/>
                <w:webHidden/>
              </w:rPr>
              <w:fldChar w:fldCharType="separate"/>
            </w:r>
            <w:r w:rsidR="00103FC3">
              <w:rPr>
                <w:noProof/>
                <w:webHidden/>
              </w:rPr>
              <w:t>9</w:t>
            </w:r>
            <w:r w:rsidR="00C639EA">
              <w:rPr>
                <w:noProof/>
                <w:webHidden/>
              </w:rPr>
              <w:fldChar w:fldCharType="end"/>
            </w:r>
          </w:hyperlink>
        </w:p>
        <w:p w14:paraId="3F0BE408" w14:textId="3912FA29" w:rsidR="00C639EA" w:rsidRDefault="00626CD5">
          <w:pPr>
            <w:pStyle w:val="TOC2"/>
            <w:rPr>
              <w:rFonts w:asciiTheme="minorHAnsi" w:eastAsiaTheme="minorEastAsia" w:hAnsiTheme="minorHAnsi"/>
              <w:noProof/>
            </w:rPr>
          </w:pPr>
          <w:hyperlink w:anchor="_Toc83886105" w:history="1">
            <w:r w:rsidR="00C639EA" w:rsidRPr="00075A37">
              <w:rPr>
                <w:rStyle w:val="Hyperlink"/>
                <w:noProof/>
                <w14:scene3d>
                  <w14:camera w14:prst="orthographicFront"/>
                  <w14:lightRig w14:rig="threePt" w14:dir="t">
                    <w14:rot w14:lat="0" w14:lon="0" w14:rev="0"/>
                  </w14:lightRig>
                </w14:scene3d>
              </w:rPr>
              <w:t>2.2</w:t>
            </w:r>
            <w:r w:rsidR="00C639EA">
              <w:rPr>
                <w:rFonts w:asciiTheme="minorHAnsi" w:eastAsiaTheme="minorEastAsia" w:hAnsiTheme="minorHAnsi"/>
                <w:noProof/>
              </w:rPr>
              <w:tab/>
            </w:r>
            <w:r w:rsidR="00C639EA" w:rsidRPr="00075A37">
              <w:rPr>
                <w:rStyle w:val="Hyperlink"/>
                <w:noProof/>
              </w:rPr>
              <w:t>The Interstellar Medium</w:t>
            </w:r>
            <w:r w:rsidR="00C639EA">
              <w:rPr>
                <w:noProof/>
                <w:webHidden/>
              </w:rPr>
              <w:tab/>
            </w:r>
            <w:r w:rsidR="00C639EA">
              <w:rPr>
                <w:noProof/>
                <w:webHidden/>
              </w:rPr>
              <w:fldChar w:fldCharType="begin"/>
            </w:r>
            <w:r w:rsidR="00C639EA">
              <w:rPr>
                <w:noProof/>
                <w:webHidden/>
              </w:rPr>
              <w:instrText xml:space="preserve"> PAGEREF _Toc83886105 \h </w:instrText>
            </w:r>
            <w:r w:rsidR="00C639EA">
              <w:rPr>
                <w:noProof/>
                <w:webHidden/>
              </w:rPr>
            </w:r>
            <w:r w:rsidR="00C639EA">
              <w:rPr>
                <w:noProof/>
                <w:webHidden/>
              </w:rPr>
              <w:fldChar w:fldCharType="separate"/>
            </w:r>
            <w:r w:rsidR="00103FC3">
              <w:rPr>
                <w:noProof/>
                <w:webHidden/>
              </w:rPr>
              <w:t>10</w:t>
            </w:r>
            <w:r w:rsidR="00C639EA">
              <w:rPr>
                <w:noProof/>
                <w:webHidden/>
              </w:rPr>
              <w:fldChar w:fldCharType="end"/>
            </w:r>
          </w:hyperlink>
        </w:p>
        <w:p w14:paraId="4637E88A" w14:textId="182DB126" w:rsidR="00C639EA" w:rsidRDefault="00626CD5">
          <w:pPr>
            <w:pStyle w:val="TOC2"/>
            <w:rPr>
              <w:rFonts w:asciiTheme="minorHAnsi" w:eastAsiaTheme="minorEastAsia" w:hAnsiTheme="minorHAnsi"/>
              <w:noProof/>
            </w:rPr>
          </w:pPr>
          <w:hyperlink w:anchor="_Toc83886106" w:history="1">
            <w:r w:rsidR="00C639EA" w:rsidRPr="00075A37">
              <w:rPr>
                <w:rStyle w:val="Hyperlink"/>
                <w:noProof/>
                <w14:scene3d>
                  <w14:camera w14:prst="orthographicFront"/>
                  <w14:lightRig w14:rig="threePt" w14:dir="t">
                    <w14:rot w14:lat="0" w14:lon="0" w14:rev="0"/>
                  </w14:lightRig>
                </w14:scene3d>
              </w:rPr>
              <w:t>2.3</w:t>
            </w:r>
            <w:r w:rsidR="00C639EA">
              <w:rPr>
                <w:rFonts w:asciiTheme="minorHAnsi" w:eastAsiaTheme="minorEastAsia" w:hAnsiTheme="minorHAnsi"/>
                <w:noProof/>
              </w:rPr>
              <w:tab/>
            </w:r>
            <w:r w:rsidR="00C639EA" w:rsidRPr="00075A37">
              <w:rPr>
                <w:rStyle w:val="Hyperlink"/>
                <w:noProof/>
              </w:rPr>
              <w:t>Compact Objects and Fundamental Physics</w:t>
            </w:r>
            <w:r w:rsidR="00C639EA">
              <w:rPr>
                <w:noProof/>
                <w:webHidden/>
              </w:rPr>
              <w:tab/>
            </w:r>
            <w:r w:rsidR="00C639EA">
              <w:rPr>
                <w:noProof/>
                <w:webHidden/>
              </w:rPr>
              <w:fldChar w:fldCharType="begin"/>
            </w:r>
            <w:r w:rsidR="00C639EA">
              <w:rPr>
                <w:noProof/>
                <w:webHidden/>
              </w:rPr>
              <w:instrText xml:space="preserve"> PAGEREF _Toc83886106 \h </w:instrText>
            </w:r>
            <w:r w:rsidR="00C639EA">
              <w:rPr>
                <w:noProof/>
                <w:webHidden/>
              </w:rPr>
            </w:r>
            <w:r w:rsidR="00C639EA">
              <w:rPr>
                <w:noProof/>
                <w:webHidden/>
              </w:rPr>
              <w:fldChar w:fldCharType="separate"/>
            </w:r>
            <w:r w:rsidR="00103FC3">
              <w:rPr>
                <w:noProof/>
                <w:webHidden/>
              </w:rPr>
              <w:t>10</w:t>
            </w:r>
            <w:r w:rsidR="00C639EA">
              <w:rPr>
                <w:noProof/>
                <w:webHidden/>
              </w:rPr>
              <w:fldChar w:fldCharType="end"/>
            </w:r>
          </w:hyperlink>
        </w:p>
        <w:p w14:paraId="69E0C39B" w14:textId="7381F81E" w:rsidR="00C639EA" w:rsidRDefault="00626CD5">
          <w:pPr>
            <w:pStyle w:val="TOC2"/>
            <w:rPr>
              <w:rFonts w:asciiTheme="minorHAnsi" w:eastAsiaTheme="minorEastAsia" w:hAnsiTheme="minorHAnsi"/>
              <w:noProof/>
            </w:rPr>
          </w:pPr>
          <w:hyperlink w:anchor="_Toc83886107" w:history="1">
            <w:r w:rsidR="00C639EA" w:rsidRPr="00075A37">
              <w:rPr>
                <w:rStyle w:val="Hyperlink"/>
                <w:noProof/>
                <w14:scene3d>
                  <w14:camera w14:prst="orthographicFront"/>
                  <w14:lightRig w14:rig="threePt" w14:dir="t">
                    <w14:rot w14:lat="0" w14:lon="0" w14:rev="0"/>
                  </w14:lightRig>
                </w14:scene3d>
              </w:rPr>
              <w:t>2.4</w:t>
            </w:r>
            <w:r w:rsidR="00C639EA">
              <w:rPr>
                <w:rFonts w:asciiTheme="minorHAnsi" w:eastAsiaTheme="minorEastAsia" w:hAnsiTheme="minorHAnsi"/>
                <w:noProof/>
              </w:rPr>
              <w:tab/>
            </w:r>
            <w:r w:rsidR="00C639EA" w:rsidRPr="00075A37">
              <w:rPr>
                <w:rStyle w:val="Hyperlink"/>
                <w:noProof/>
              </w:rPr>
              <w:t>The Search for Technosignatures</w:t>
            </w:r>
            <w:r w:rsidR="00C639EA">
              <w:rPr>
                <w:noProof/>
                <w:webHidden/>
              </w:rPr>
              <w:tab/>
            </w:r>
            <w:r w:rsidR="00C639EA">
              <w:rPr>
                <w:noProof/>
                <w:webHidden/>
              </w:rPr>
              <w:fldChar w:fldCharType="begin"/>
            </w:r>
            <w:r w:rsidR="00C639EA">
              <w:rPr>
                <w:noProof/>
                <w:webHidden/>
              </w:rPr>
              <w:instrText xml:space="preserve"> PAGEREF _Toc83886107 \h </w:instrText>
            </w:r>
            <w:r w:rsidR="00C639EA">
              <w:rPr>
                <w:noProof/>
                <w:webHidden/>
              </w:rPr>
            </w:r>
            <w:r w:rsidR="00C639EA">
              <w:rPr>
                <w:noProof/>
                <w:webHidden/>
              </w:rPr>
              <w:fldChar w:fldCharType="separate"/>
            </w:r>
            <w:r w:rsidR="00103FC3">
              <w:rPr>
                <w:noProof/>
                <w:webHidden/>
              </w:rPr>
              <w:t>10</w:t>
            </w:r>
            <w:r w:rsidR="00C639EA">
              <w:rPr>
                <w:noProof/>
                <w:webHidden/>
              </w:rPr>
              <w:fldChar w:fldCharType="end"/>
            </w:r>
          </w:hyperlink>
        </w:p>
        <w:p w14:paraId="6EBD0A77" w14:textId="341F2C93" w:rsidR="00C639EA" w:rsidRDefault="00626CD5">
          <w:pPr>
            <w:pStyle w:val="TOC2"/>
            <w:rPr>
              <w:rFonts w:asciiTheme="minorHAnsi" w:eastAsiaTheme="minorEastAsia" w:hAnsiTheme="minorHAnsi"/>
              <w:noProof/>
            </w:rPr>
          </w:pPr>
          <w:hyperlink w:anchor="_Toc83886108" w:history="1">
            <w:r w:rsidR="00C639EA" w:rsidRPr="00075A37">
              <w:rPr>
                <w:rStyle w:val="Hyperlink"/>
                <w:noProof/>
                <w14:scene3d>
                  <w14:camera w14:prst="orthographicFront"/>
                  <w14:lightRig w14:rig="threePt" w14:dir="t">
                    <w14:rot w14:lat="0" w14:lon="0" w14:rev="0"/>
                  </w14:lightRig>
                </w14:scene3d>
              </w:rPr>
              <w:t>2.5</w:t>
            </w:r>
            <w:r w:rsidR="00C639EA">
              <w:rPr>
                <w:rFonts w:asciiTheme="minorHAnsi" w:eastAsiaTheme="minorEastAsia" w:hAnsiTheme="minorHAnsi"/>
                <w:noProof/>
              </w:rPr>
              <w:tab/>
            </w:r>
            <w:r w:rsidR="00C639EA" w:rsidRPr="00075A37">
              <w:rPr>
                <w:rStyle w:val="Hyperlink"/>
                <w:noProof/>
              </w:rPr>
              <w:t>Galaxy Formation and Evolution</w:t>
            </w:r>
            <w:r w:rsidR="00C639EA">
              <w:rPr>
                <w:noProof/>
                <w:webHidden/>
              </w:rPr>
              <w:tab/>
            </w:r>
            <w:r w:rsidR="00C639EA">
              <w:rPr>
                <w:noProof/>
                <w:webHidden/>
              </w:rPr>
              <w:fldChar w:fldCharType="begin"/>
            </w:r>
            <w:r w:rsidR="00C639EA">
              <w:rPr>
                <w:noProof/>
                <w:webHidden/>
              </w:rPr>
              <w:instrText xml:space="preserve"> PAGEREF _Toc83886108 \h </w:instrText>
            </w:r>
            <w:r w:rsidR="00C639EA">
              <w:rPr>
                <w:noProof/>
                <w:webHidden/>
              </w:rPr>
            </w:r>
            <w:r w:rsidR="00C639EA">
              <w:rPr>
                <w:noProof/>
                <w:webHidden/>
              </w:rPr>
              <w:fldChar w:fldCharType="separate"/>
            </w:r>
            <w:r w:rsidR="00103FC3">
              <w:rPr>
                <w:noProof/>
                <w:webHidden/>
              </w:rPr>
              <w:t>11</w:t>
            </w:r>
            <w:r w:rsidR="00C639EA">
              <w:rPr>
                <w:noProof/>
                <w:webHidden/>
              </w:rPr>
              <w:fldChar w:fldCharType="end"/>
            </w:r>
          </w:hyperlink>
        </w:p>
        <w:p w14:paraId="65476C6B" w14:textId="6898FFA2" w:rsidR="00C639EA" w:rsidRDefault="00626CD5">
          <w:pPr>
            <w:pStyle w:val="TOC2"/>
            <w:rPr>
              <w:rFonts w:asciiTheme="minorHAnsi" w:eastAsiaTheme="minorEastAsia" w:hAnsiTheme="minorHAnsi"/>
              <w:noProof/>
            </w:rPr>
          </w:pPr>
          <w:hyperlink w:anchor="_Toc83886109" w:history="1">
            <w:r w:rsidR="00C639EA" w:rsidRPr="00075A37">
              <w:rPr>
                <w:rStyle w:val="Hyperlink"/>
                <w:noProof/>
                <w14:scene3d>
                  <w14:camera w14:prst="orthographicFront"/>
                  <w14:lightRig w14:rig="threePt" w14:dir="t">
                    <w14:rot w14:lat="0" w14:lon="0" w14:rev="0"/>
                  </w14:lightRig>
                </w14:scene3d>
              </w:rPr>
              <w:t>2.6</w:t>
            </w:r>
            <w:r w:rsidR="00C639EA">
              <w:rPr>
                <w:rFonts w:asciiTheme="minorHAnsi" w:eastAsiaTheme="minorEastAsia" w:hAnsiTheme="minorHAnsi"/>
                <w:noProof/>
              </w:rPr>
              <w:tab/>
            </w:r>
            <w:r w:rsidR="00C639EA" w:rsidRPr="00075A37">
              <w:rPr>
                <w:rStyle w:val="Hyperlink"/>
                <w:noProof/>
              </w:rPr>
              <w:t>Galaxy Clusters</w:t>
            </w:r>
            <w:r w:rsidR="00C639EA">
              <w:rPr>
                <w:noProof/>
                <w:webHidden/>
              </w:rPr>
              <w:tab/>
            </w:r>
            <w:r w:rsidR="00C639EA">
              <w:rPr>
                <w:noProof/>
                <w:webHidden/>
              </w:rPr>
              <w:fldChar w:fldCharType="begin"/>
            </w:r>
            <w:r w:rsidR="00C639EA">
              <w:rPr>
                <w:noProof/>
                <w:webHidden/>
              </w:rPr>
              <w:instrText xml:space="preserve"> PAGEREF _Toc83886109 \h </w:instrText>
            </w:r>
            <w:r w:rsidR="00C639EA">
              <w:rPr>
                <w:noProof/>
                <w:webHidden/>
              </w:rPr>
            </w:r>
            <w:r w:rsidR="00C639EA">
              <w:rPr>
                <w:noProof/>
                <w:webHidden/>
              </w:rPr>
              <w:fldChar w:fldCharType="separate"/>
            </w:r>
            <w:r w:rsidR="00103FC3">
              <w:rPr>
                <w:noProof/>
                <w:webHidden/>
              </w:rPr>
              <w:t>12</w:t>
            </w:r>
            <w:r w:rsidR="00C639EA">
              <w:rPr>
                <w:noProof/>
                <w:webHidden/>
              </w:rPr>
              <w:fldChar w:fldCharType="end"/>
            </w:r>
          </w:hyperlink>
        </w:p>
        <w:p w14:paraId="00172203" w14:textId="51E67687" w:rsidR="00C639EA" w:rsidRDefault="00626CD5">
          <w:pPr>
            <w:pStyle w:val="TOC1"/>
            <w:rPr>
              <w:rFonts w:asciiTheme="minorHAnsi" w:eastAsiaTheme="minorEastAsia" w:hAnsiTheme="minorHAnsi"/>
              <w:b w:val="0"/>
              <w:noProof/>
              <w:sz w:val="22"/>
            </w:rPr>
          </w:pPr>
          <w:hyperlink w:anchor="_Toc83886110" w:history="1">
            <w:r w:rsidR="00C639EA" w:rsidRPr="00075A37">
              <w:rPr>
                <w:rStyle w:val="Hyperlink"/>
                <w:noProof/>
              </w:rPr>
              <w:t>3</w:t>
            </w:r>
            <w:r w:rsidR="00C639EA">
              <w:rPr>
                <w:rFonts w:asciiTheme="minorHAnsi" w:eastAsiaTheme="minorEastAsia" w:hAnsiTheme="minorHAnsi"/>
                <w:b w:val="0"/>
                <w:noProof/>
                <w:sz w:val="22"/>
              </w:rPr>
              <w:tab/>
            </w:r>
            <w:r w:rsidR="00C639EA" w:rsidRPr="00075A37">
              <w:rPr>
                <w:rStyle w:val="Hyperlink"/>
                <w:noProof/>
              </w:rPr>
              <w:t>THE ROBERT C. BYRD GREEN BANK TELESCOPE (GBT)</w:t>
            </w:r>
            <w:r w:rsidR="00C639EA">
              <w:rPr>
                <w:noProof/>
                <w:webHidden/>
              </w:rPr>
              <w:tab/>
            </w:r>
            <w:r w:rsidR="00C639EA">
              <w:rPr>
                <w:noProof/>
                <w:webHidden/>
              </w:rPr>
              <w:fldChar w:fldCharType="begin"/>
            </w:r>
            <w:r w:rsidR="00C639EA">
              <w:rPr>
                <w:noProof/>
                <w:webHidden/>
              </w:rPr>
              <w:instrText xml:space="preserve"> PAGEREF _Toc83886110 \h </w:instrText>
            </w:r>
            <w:r w:rsidR="00C639EA">
              <w:rPr>
                <w:noProof/>
                <w:webHidden/>
              </w:rPr>
            </w:r>
            <w:r w:rsidR="00C639EA">
              <w:rPr>
                <w:noProof/>
                <w:webHidden/>
              </w:rPr>
              <w:fldChar w:fldCharType="separate"/>
            </w:r>
            <w:r w:rsidR="00103FC3">
              <w:rPr>
                <w:noProof/>
                <w:webHidden/>
              </w:rPr>
              <w:t>13</w:t>
            </w:r>
            <w:r w:rsidR="00C639EA">
              <w:rPr>
                <w:noProof/>
                <w:webHidden/>
              </w:rPr>
              <w:fldChar w:fldCharType="end"/>
            </w:r>
          </w:hyperlink>
        </w:p>
        <w:p w14:paraId="1280781A" w14:textId="602C8C61" w:rsidR="00C639EA" w:rsidRDefault="00626CD5">
          <w:pPr>
            <w:pStyle w:val="TOC2"/>
            <w:rPr>
              <w:rFonts w:asciiTheme="minorHAnsi" w:eastAsiaTheme="minorEastAsia" w:hAnsiTheme="minorHAnsi"/>
              <w:noProof/>
            </w:rPr>
          </w:pPr>
          <w:hyperlink w:anchor="_Toc83886111" w:history="1">
            <w:r w:rsidR="00C639EA" w:rsidRPr="00075A37">
              <w:rPr>
                <w:rStyle w:val="Hyperlink"/>
                <w:noProof/>
                <w14:scene3d>
                  <w14:camera w14:prst="orthographicFront"/>
                  <w14:lightRig w14:rig="threePt" w14:dir="t">
                    <w14:rot w14:lat="0" w14:lon="0" w14:rev="0"/>
                  </w14:lightRig>
                </w14:scene3d>
              </w:rPr>
              <w:t>3.1</w:t>
            </w:r>
            <w:r w:rsidR="00C639EA">
              <w:rPr>
                <w:rFonts w:asciiTheme="minorHAnsi" w:eastAsiaTheme="minorEastAsia" w:hAnsiTheme="minorHAnsi"/>
                <w:noProof/>
              </w:rPr>
              <w:tab/>
            </w:r>
            <w:r w:rsidR="00C639EA" w:rsidRPr="00075A37">
              <w:rPr>
                <w:rStyle w:val="Hyperlink"/>
                <w:noProof/>
              </w:rPr>
              <w:t>Current Status</w:t>
            </w:r>
            <w:r w:rsidR="00C639EA">
              <w:rPr>
                <w:noProof/>
                <w:webHidden/>
              </w:rPr>
              <w:tab/>
            </w:r>
            <w:r w:rsidR="00C639EA">
              <w:rPr>
                <w:noProof/>
                <w:webHidden/>
              </w:rPr>
              <w:fldChar w:fldCharType="begin"/>
            </w:r>
            <w:r w:rsidR="00C639EA">
              <w:rPr>
                <w:noProof/>
                <w:webHidden/>
              </w:rPr>
              <w:instrText xml:space="preserve"> PAGEREF _Toc83886111 \h </w:instrText>
            </w:r>
            <w:r w:rsidR="00C639EA">
              <w:rPr>
                <w:noProof/>
                <w:webHidden/>
              </w:rPr>
            </w:r>
            <w:r w:rsidR="00C639EA">
              <w:rPr>
                <w:noProof/>
                <w:webHidden/>
              </w:rPr>
              <w:fldChar w:fldCharType="separate"/>
            </w:r>
            <w:r w:rsidR="00103FC3">
              <w:rPr>
                <w:noProof/>
                <w:webHidden/>
              </w:rPr>
              <w:t>13</w:t>
            </w:r>
            <w:r w:rsidR="00C639EA">
              <w:rPr>
                <w:noProof/>
                <w:webHidden/>
              </w:rPr>
              <w:fldChar w:fldCharType="end"/>
            </w:r>
          </w:hyperlink>
        </w:p>
        <w:p w14:paraId="658C3AF6" w14:textId="60AB812F" w:rsidR="00C639EA" w:rsidRDefault="00626CD5">
          <w:pPr>
            <w:pStyle w:val="TOC2"/>
            <w:rPr>
              <w:rFonts w:asciiTheme="minorHAnsi" w:eastAsiaTheme="minorEastAsia" w:hAnsiTheme="minorHAnsi"/>
              <w:noProof/>
            </w:rPr>
          </w:pPr>
          <w:hyperlink w:anchor="_Toc83886112" w:history="1">
            <w:r w:rsidR="00C639EA" w:rsidRPr="00075A37">
              <w:rPr>
                <w:rStyle w:val="Hyperlink"/>
                <w:noProof/>
                <w14:scene3d>
                  <w14:camera w14:prst="orthographicFront"/>
                  <w14:lightRig w14:rig="threePt" w14:dir="t">
                    <w14:rot w14:lat="0" w14:lon="0" w14:rev="0"/>
                  </w14:lightRig>
                </w14:scene3d>
              </w:rPr>
              <w:t>3.2</w:t>
            </w:r>
            <w:r w:rsidR="00C639EA">
              <w:rPr>
                <w:rFonts w:asciiTheme="minorHAnsi" w:eastAsiaTheme="minorEastAsia" w:hAnsiTheme="minorHAnsi"/>
                <w:noProof/>
              </w:rPr>
              <w:tab/>
            </w:r>
            <w:r w:rsidR="00C639EA" w:rsidRPr="00075A37">
              <w:rPr>
                <w:rStyle w:val="Hyperlink"/>
                <w:noProof/>
              </w:rPr>
              <w:t>Time Allocation</w:t>
            </w:r>
            <w:r w:rsidR="00C639EA">
              <w:rPr>
                <w:noProof/>
                <w:webHidden/>
              </w:rPr>
              <w:tab/>
            </w:r>
            <w:r w:rsidR="00C639EA">
              <w:rPr>
                <w:noProof/>
                <w:webHidden/>
              </w:rPr>
              <w:fldChar w:fldCharType="begin"/>
            </w:r>
            <w:r w:rsidR="00C639EA">
              <w:rPr>
                <w:noProof/>
                <w:webHidden/>
              </w:rPr>
              <w:instrText xml:space="preserve"> PAGEREF _Toc83886112 \h </w:instrText>
            </w:r>
            <w:r w:rsidR="00C639EA">
              <w:rPr>
                <w:noProof/>
                <w:webHidden/>
              </w:rPr>
            </w:r>
            <w:r w:rsidR="00C639EA">
              <w:rPr>
                <w:noProof/>
                <w:webHidden/>
              </w:rPr>
              <w:fldChar w:fldCharType="separate"/>
            </w:r>
            <w:r w:rsidR="00103FC3">
              <w:rPr>
                <w:noProof/>
                <w:webHidden/>
              </w:rPr>
              <w:t>15</w:t>
            </w:r>
            <w:r w:rsidR="00C639EA">
              <w:rPr>
                <w:noProof/>
                <w:webHidden/>
              </w:rPr>
              <w:fldChar w:fldCharType="end"/>
            </w:r>
          </w:hyperlink>
        </w:p>
        <w:p w14:paraId="4FBEDBBB" w14:textId="2B858465" w:rsidR="00C639EA" w:rsidRDefault="00626CD5">
          <w:pPr>
            <w:pStyle w:val="TOC2"/>
            <w:rPr>
              <w:rFonts w:asciiTheme="minorHAnsi" w:eastAsiaTheme="minorEastAsia" w:hAnsiTheme="minorHAnsi"/>
              <w:noProof/>
            </w:rPr>
          </w:pPr>
          <w:hyperlink w:anchor="_Toc83886113" w:history="1">
            <w:r w:rsidR="00C639EA" w:rsidRPr="00075A37">
              <w:rPr>
                <w:rStyle w:val="Hyperlink"/>
                <w:noProof/>
                <w14:scene3d>
                  <w14:camera w14:prst="orthographicFront"/>
                  <w14:lightRig w14:rig="threePt" w14:dir="t">
                    <w14:rot w14:lat="0" w14:lon="0" w14:rev="0"/>
                  </w14:lightRig>
                </w14:scene3d>
              </w:rPr>
              <w:t>3.3</w:t>
            </w:r>
            <w:r w:rsidR="00C639EA">
              <w:rPr>
                <w:rFonts w:asciiTheme="minorHAnsi" w:eastAsiaTheme="minorEastAsia" w:hAnsiTheme="minorHAnsi"/>
                <w:noProof/>
              </w:rPr>
              <w:tab/>
            </w:r>
            <w:r w:rsidR="00C639EA" w:rsidRPr="00075A37">
              <w:rPr>
                <w:rStyle w:val="Hyperlink"/>
                <w:noProof/>
              </w:rPr>
              <w:t>Scheduling</w:t>
            </w:r>
            <w:r w:rsidR="00C639EA">
              <w:rPr>
                <w:noProof/>
                <w:webHidden/>
              </w:rPr>
              <w:tab/>
            </w:r>
            <w:r w:rsidR="00C639EA">
              <w:rPr>
                <w:noProof/>
                <w:webHidden/>
              </w:rPr>
              <w:fldChar w:fldCharType="begin"/>
            </w:r>
            <w:r w:rsidR="00C639EA">
              <w:rPr>
                <w:noProof/>
                <w:webHidden/>
              </w:rPr>
              <w:instrText xml:space="preserve"> PAGEREF _Toc83886113 \h </w:instrText>
            </w:r>
            <w:r w:rsidR="00C639EA">
              <w:rPr>
                <w:noProof/>
                <w:webHidden/>
              </w:rPr>
            </w:r>
            <w:r w:rsidR="00C639EA">
              <w:rPr>
                <w:noProof/>
                <w:webHidden/>
              </w:rPr>
              <w:fldChar w:fldCharType="separate"/>
            </w:r>
            <w:r w:rsidR="00103FC3">
              <w:rPr>
                <w:noProof/>
                <w:webHidden/>
              </w:rPr>
              <w:t>16</w:t>
            </w:r>
            <w:r w:rsidR="00C639EA">
              <w:rPr>
                <w:noProof/>
                <w:webHidden/>
              </w:rPr>
              <w:fldChar w:fldCharType="end"/>
            </w:r>
          </w:hyperlink>
        </w:p>
        <w:p w14:paraId="68007FEE" w14:textId="5216EFF4" w:rsidR="00C639EA" w:rsidRDefault="00626CD5">
          <w:pPr>
            <w:pStyle w:val="TOC2"/>
            <w:rPr>
              <w:rFonts w:asciiTheme="minorHAnsi" w:eastAsiaTheme="minorEastAsia" w:hAnsiTheme="minorHAnsi"/>
              <w:noProof/>
            </w:rPr>
          </w:pPr>
          <w:hyperlink w:anchor="_Toc83886114" w:history="1">
            <w:r w:rsidR="00C639EA" w:rsidRPr="00075A37">
              <w:rPr>
                <w:rStyle w:val="Hyperlink"/>
                <w:noProof/>
                <w14:scene3d>
                  <w14:camera w14:prst="orthographicFront"/>
                  <w14:lightRig w14:rig="threePt" w14:dir="t">
                    <w14:rot w14:lat="0" w14:lon="0" w14:rev="0"/>
                  </w14:lightRig>
                </w14:scene3d>
              </w:rPr>
              <w:t>3.4</w:t>
            </w:r>
            <w:r w:rsidR="00C639EA">
              <w:rPr>
                <w:rFonts w:asciiTheme="minorHAnsi" w:eastAsiaTheme="minorEastAsia" w:hAnsiTheme="minorHAnsi"/>
                <w:noProof/>
              </w:rPr>
              <w:tab/>
            </w:r>
            <w:r w:rsidR="00C639EA" w:rsidRPr="00075A37">
              <w:rPr>
                <w:rStyle w:val="Hyperlink"/>
                <w:noProof/>
              </w:rPr>
              <w:t>Interaction with Other Observatories</w:t>
            </w:r>
            <w:r w:rsidR="00C639EA">
              <w:rPr>
                <w:noProof/>
                <w:webHidden/>
              </w:rPr>
              <w:tab/>
            </w:r>
            <w:r w:rsidR="00C639EA">
              <w:rPr>
                <w:noProof/>
                <w:webHidden/>
              </w:rPr>
              <w:fldChar w:fldCharType="begin"/>
            </w:r>
            <w:r w:rsidR="00C639EA">
              <w:rPr>
                <w:noProof/>
                <w:webHidden/>
              </w:rPr>
              <w:instrText xml:space="preserve"> PAGEREF _Toc83886114 \h </w:instrText>
            </w:r>
            <w:r w:rsidR="00C639EA">
              <w:rPr>
                <w:noProof/>
                <w:webHidden/>
              </w:rPr>
            </w:r>
            <w:r w:rsidR="00C639EA">
              <w:rPr>
                <w:noProof/>
                <w:webHidden/>
              </w:rPr>
              <w:fldChar w:fldCharType="separate"/>
            </w:r>
            <w:r w:rsidR="00103FC3">
              <w:rPr>
                <w:noProof/>
                <w:webHidden/>
              </w:rPr>
              <w:t>17</w:t>
            </w:r>
            <w:r w:rsidR="00C639EA">
              <w:rPr>
                <w:noProof/>
                <w:webHidden/>
              </w:rPr>
              <w:fldChar w:fldCharType="end"/>
            </w:r>
          </w:hyperlink>
        </w:p>
        <w:p w14:paraId="7638B5FC" w14:textId="06C777E6" w:rsidR="00C639EA" w:rsidRDefault="00626CD5">
          <w:pPr>
            <w:pStyle w:val="TOC1"/>
            <w:rPr>
              <w:rFonts w:asciiTheme="minorHAnsi" w:eastAsiaTheme="minorEastAsia" w:hAnsiTheme="minorHAnsi"/>
              <w:b w:val="0"/>
              <w:noProof/>
              <w:sz w:val="22"/>
            </w:rPr>
          </w:pPr>
          <w:hyperlink w:anchor="_Toc83886115" w:history="1">
            <w:r w:rsidR="00C639EA" w:rsidRPr="00075A37">
              <w:rPr>
                <w:rStyle w:val="Hyperlink"/>
                <w:noProof/>
              </w:rPr>
              <w:t>4</w:t>
            </w:r>
            <w:r w:rsidR="00C639EA">
              <w:rPr>
                <w:rFonts w:asciiTheme="minorHAnsi" w:eastAsiaTheme="minorEastAsia" w:hAnsiTheme="minorHAnsi"/>
                <w:b w:val="0"/>
                <w:noProof/>
                <w:sz w:val="22"/>
              </w:rPr>
              <w:tab/>
            </w:r>
            <w:r w:rsidR="00C639EA" w:rsidRPr="00075A37">
              <w:rPr>
                <w:rStyle w:val="Hyperlink"/>
                <w:noProof/>
              </w:rPr>
              <w:t>SITE RESEARCH ASSETS</w:t>
            </w:r>
            <w:r w:rsidR="00C639EA">
              <w:rPr>
                <w:noProof/>
                <w:webHidden/>
              </w:rPr>
              <w:tab/>
            </w:r>
            <w:r w:rsidR="00C639EA">
              <w:rPr>
                <w:noProof/>
                <w:webHidden/>
              </w:rPr>
              <w:fldChar w:fldCharType="begin"/>
            </w:r>
            <w:r w:rsidR="00C639EA">
              <w:rPr>
                <w:noProof/>
                <w:webHidden/>
              </w:rPr>
              <w:instrText xml:space="preserve"> PAGEREF _Toc83886115 \h </w:instrText>
            </w:r>
            <w:r w:rsidR="00C639EA">
              <w:rPr>
                <w:noProof/>
                <w:webHidden/>
              </w:rPr>
            </w:r>
            <w:r w:rsidR="00C639EA">
              <w:rPr>
                <w:noProof/>
                <w:webHidden/>
              </w:rPr>
              <w:fldChar w:fldCharType="separate"/>
            </w:r>
            <w:r w:rsidR="00103FC3">
              <w:rPr>
                <w:noProof/>
                <w:webHidden/>
              </w:rPr>
              <w:t>18</w:t>
            </w:r>
            <w:r w:rsidR="00C639EA">
              <w:rPr>
                <w:noProof/>
                <w:webHidden/>
              </w:rPr>
              <w:fldChar w:fldCharType="end"/>
            </w:r>
          </w:hyperlink>
        </w:p>
        <w:p w14:paraId="78AA6D4B" w14:textId="5CD5D260" w:rsidR="00C639EA" w:rsidRDefault="00626CD5">
          <w:pPr>
            <w:pStyle w:val="TOC2"/>
            <w:rPr>
              <w:rFonts w:asciiTheme="minorHAnsi" w:eastAsiaTheme="minorEastAsia" w:hAnsiTheme="minorHAnsi"/>
              <w:noProof/>
            </w:rPr>
          </w:pPr>
          <w:hyperlink w:anchor="_Toc83886116" w:history="1">
            <w:r w:rsidR="00C639EA" w:rsidRPr="00075A37">
              <w:rPr>
                <w:rStyle w:val="Hyperlink"/>
                <w:noProof/>
                <w14:scene3d>
                  <w14:camera w14:prst="orthographicFront"/>
                  <w14:lightRig w14:rig="threePt" w14:dir="t">
                    <w14:rot w14:lat="0" w14:lon="0" w14:rev="0"/>
                  </w14:lightRig>
                </w14:scene3d>
              </w:rPr>
              <w:t>4.1</w:t>
            </w:r>
            <w:r w:rsidR="00C639EA">
              <w:rPr>
                <w:rFonts w:asciiTheme="minorHAnsi" w:eastAsiaTheme="minorEastAsia" w:hAnsiTheme="minorHAnsi"/>
                <w:noProof/>
              </w:rPr>
              <w:tab/>
            </w:r>
            <w:r w:rsidR="00C639EA" w:rsidRPr="00075A37">
              <w:rPr>
                <w:rStyle w:val="Hyperlink"/>
                <w:noProof/>
              </w:rPr>
              <w:t>Other Active Telescopes</w:t>
            </w:r>
            <w:r w:rsidR="00C639EA">
              <w:rPr>
                <w:noProof/>
                <w:webHidden/>
              </w:rPr>
              <w:tab/>
            </w:r>
            <w:r w:rsidR="00C639EA">
              <w:rPr>
                <w:noProof/>
                <w:webHidden/>
              </w:rPr>
              <w:fldChar w:fldCharType="begin"/>
            </w:r>
            <w:r w:rsidR="00C639EA">
              <w:rPr>
                <w:noProof/>
                <w:webHidden/>
              </w:rPr>
              <w:instrText xml:space="preserve"> PAGEREF _Toc83886116 \h </w:instrText>
            </w:r>
            <w:r w:rsidR="00C639EA">
              <w:rPr>
                <w:noProof/>
                <w:webHidden/>
              </w:rPr>
            </w:r>
            <w:r w:rsidR="00C639EA">
              <w:rPr>
                <w:noProof/>
                <w:webHidden/>
              </w:rPr>
              <w:fldChar w:fldCharType="separate"/>
            </w:r>
            <w:r w:rsidR="00103FC3">
              <w:rPr>
                <w:noProof/>
                <w:webHidden/>
              </w:rPr>
              <w:t>18</w:t>
            </w:r>
            <w:r w:rsidR="00C639EA">
              <w:rPr>
                <w:noProof/>
                <w:webHidden/>
              </w:rPr>
              <w:fldChar w:fldCharType="end"/>
            </w:r>
          </w:hyperlink>
        </w:p>
        <w:p w14:paraId="3D2FD40D" w14:textId="6E427C3E" w:rsidR="00C639EA" w:rsidRDefault="00626CD5">
          <w:pPr>
            <w:pStyle w:val="TOC2"/>
            <w:rPr>
              <w:rFonts w:asciiTheme="minorHAnsi" w:eastAsiaTheme="minorEastAsia" w:hAnsiTheme="minorHAnsi"/>
              <w:noProof/>
            </w:rPr>
          </w:pPr>
          <w:hyperlink w:anchor="_Toc83886117" w:history="1">
            <w:r w:rsidR="00C639EA" w:rsidRPr="00075A37">
              <w:rPr>
                <w:rStyle w:val="Hyperlink"/>
                <w:noProof/>
                <w14:scene3d>
                  <w14:camera w14:prst="orthographicFront"/>
                  <w14:lightRig w14:rig="threePt" w14:dir="t">
                    <w14:rot w14:lat="0" w14:lon="0" w14:rev="0"/>
                  </w14:lightRig>
                </w14:scene3d>
              </w:rPr>
              <w:t>4.2</w:t>
            </w:r>
            <w:r w:rsidR="00C639EA">
              <w:rPr>
                <w:rFonts w:asciiTheme="minorHAnsi" w:eastAsiaTheme="minorEastAsia" w:hAnsiTheme="minorHAnsi"/>
                <w:noProof/>
              </w:rPr>
              <w:tab/>
            </w:r>
            <w:r w:rsidR="00C639EA" w:rsidRPr="00075A37">
              <w:rPr>
                <w:rStyle w:val="Hyperlink"/>
                <w:noProof/>
              </w:rPr>
              <w:t>Inactive Telescopes</w:t>
            </w:r>
            <w:r w:rsidR="00C639EA">
              <w:rPr>
                <w:noProof/>
                <w:webHidden/>
              </w:rPr>
              <w:tab/>
            </w:r>
            <w:r w:rsidR="00C639EA">
              <w:rPr>
                <w:noProof/>
                <w:webHidden/>
              </w:rPr>
              <w:fldChar w:fldCharType="begin"/>
            </w:r>
            <w:r w:rsidR="00C639EA">
              <w:rPr>
                <w:noProof/>
                <w:webHidden/>
              </w:rPr>
              <w:instrText xml:space="preserve"> PAGEREF _Toc83886117 \h </w:instrText>
            </w:r>
            <w:r w:rsidR="00C639EA">
              <w:rPr>
                <w:noProof/>
                <w:webHidden/>
              </w:rPr>
            </w:r>
            <w:r w:rsidR="00C639EA">
              <w:rPr>
                <w:noProof/>
                <w:webHidden/>
              </w:rPr>
              <w:fldChar w:fldCharType="separate"/>
            </w:r>
            <w:r w:rsidR="00103FC3">
              <w:rPr>
                <w:noProof/>
                <w:webHidden/>
              </w:rPr>
              <w:t>18</w:t>
            </w:r>
            <w:r w:rsidR="00C639EA">
              <w:rPr>
                <w:noProof/>
                <w:webHidden/>
              </w:rPr>
              <w:fldChar w:fldCharType="end"/>
            </w:r>
          </w:hyperlink>
        </w:p>
        <w:p w14:paraId="6EE6CFA9" w14:textId="6BB25E1D" w:rsidR="00C639EA" w:rsidRDefault="00626CD5">
          <w:pPr>
            <w:pStyle w:val="TOC2"/>
            <w:rPr>
              <w:rFonts w:asciiTheme="minorHAnsi" w:eastAsiaTheme="minorEastAsia" w:hAnsiTheme="minorHAnsi"/>
              <w:noProof/>
            </w:rPr>
          </w:pPr>
          <w:hyperlink w:anchor="_Toc83886118" w:history="1">
            <w:r w:rsidR="00C639EA" w:rsidRPr="00075A37">
              <w:rPr>
                <w:rStyle w:val="Hyperlink"/>
                <w:noProof/>
                <w14:scene3d>
                  <w14:camera w14:prst="orthographicFront"/>
                  <w14:lightRig w14:rig="threePt" w14:dir="t">
                    <w14:rot w14:lat="0" w14:lon="0" w14:rev="0"/>
                  </w14:lightRig>
                </w14:scene3d>
              </w:rPr>
              <w:t>4.3</w:t>
            </w:r>
            <w:r w:rsidR="00C639EA">
              <w:rPr>
                <w:rFonts w:asciiTheme="minorHAnsi" w:eastAsiaTheme="minorEastAsia" w:hAnsiTheme="minorHAnsi"/>
                <w:noProof/>
              </w:rPr>
              <w:tab/>
            </w:r>
            <w:r w:rsidR="00C639EA" w:rsidRPr="00075A37">
              <w:rPr>
                <w:rStyle w:val="Hyperlink"/>
                <w:noProof/>
              </w:rPr>
              <w:t>Other Site Instruments</w:t>
            </w:r>
            <w:r w:rsidR="00C639EA">
              <w:rPr>
                <w:noProof/>
                <w:webHidden/>
              </w:rPr>
              <w:tab/>
            </w:r>
            <w:r w:rsidR="00C639EA">
              <w:rPr>
                <w:noProof/>
                <w:webHidden/>
              </w:rPr>
              <w:fldChar w:fldCharType="begin"/>
            </w:r>
            <w:r w:rsidR="00C639EA">
              <w:rPr>
                <w:noProof/>
                <w:webHidden/>
              </w:rPr>
              <w:instrText xml:space="preserve"> PAGEREF _Toc83886118 \h </w:instrText>
            </w:r>
            <w:r w:rsidR="00C639EA">
              <w:rPr>
                <w:noProof/>
                <w:webHidden/>
              </w:rPr>
            </w:r>
            <w:r w:rsidR="00C639EA">
              <w:rPr>
                <w:noProof/>
                <w:webHidden/>
              </w:rPr>
              <w:fldChar w:fldCharType="separate"/>
            </w:r>
            <w:r w:rsidR="00103FC3">
              <w:rPr>
                <w:noProof/>
                <w:webHidden/>
              </w:rPr>
              <w:t>18</w:t>
            </w:r>
            <w:r w:rsidR="00C639EA">
              <w:rPr>
                <w:noProof/>
                <w:webHidden/>
              </w:rPr>
              <w:fldChar w:fldCharType="end"/>
            </w:r>
          </w:hyperlink>
        </w:p>
        <w:p w14:paraId="27B9778A" w14:textId="602F3610" w:rsidR="00C639EA" w:rsidRDefault="00626CD5">
          <w:pPr>
            <w:pStyle w:val="TOC2"/>
            <w:rPr>
              <w:rFonts w:asciiTheme="minorHAnsi" w:eastAsiaTheme="minorEastAsia" w:hAnsiTheme="minorHAnsi"/>
              <w:noProof/>
            </w:rPr>
          </w:pPr>
          <w:hyperlink w:anchor="_Toc83886119" w:history="1">
            <w:r w:rsidR="00C639EA" w:rsidRPr="00075A37">
              <w:rPr>
                <w:rStyle w:val="Hyperlink"/>
                <w:noProof/>
                <w14:scene3d>
                  <w14:camera w14:prst="orthographicFront"/>
                  <w14:lightRig w14:rig="threePt" w14:dir="t">
                    <w14:rot w14:lat="0" w14:lon="0" w14:rev="0"/>
                  </w14:lightRig>
                </w14:scene3d>
              </w:rPr>
              <w:t>4.4</w:t>
            </w:r>
            <w:r w:rsidR="00C639EA">
              <w:rPr>
                <w:rFonts w:asciiTheme="minorHAnsi" w:eastAsiaTheme="minorEastAsia" w:hAnsiTheme="minorHAnsi"/>
                <w:noProof/>
              </w:rPr>
              <w:tab/>
            </w:r>
            <w:r w:rsidR="00C639EA" w:rsidRPr="00075A37">
              <w:rPr>
                <w:rStyle w:val="Hyperlink"/>
                <w:noProof/>
              </w:rPr>
              <w:t>Radio Quiet Zones</w:t>
            </w:r>
            <w:r w:rsidR="00C639EA">
              <w:rPr>
                <w:noProof/>
                <w:webHidden/>
              </w:rPr>
              <w:tab/>
            </w:r>
            <w:r w:rsidR="00C639EA">
              <w:rPr>
                <w:noProof/>
                <w:webHidden/>
              </w:rPr>
              <w:fldChar w:fldCharType="begin"/>
            </w:r>
            <w:r w:rsidR="00C639EA">
              <w:rPr>
                <w:noProof/>
                <w:webHidden/>
              </w:rPr>
              <w:instrText xml:space="preserve"> PAGEREF _Toc83886119 \h </w:instrText>
            </w:r>
            <w:r w:rsidR="00C639EA">
              <w:rPr>
                <w:noProof/>
                <w:webHidden/>
              </w:rPr>
            </w:r>
            <w:r w:rsidR="00C639EA">
              <w:rPr>
                <w:noProof/>
                <w:webHidden/>
              </w:rPr>
              <w:fldChar w:fldCharType="separate"/>
            </w:r>
            <w:r w:rsidR="00103FC3">
              <w:rPr>
                <w:noProof/>
                <w:webHidden/>
              </w:rPr>
              <w:t>20</w:t>
            </w:r>
            <w:r w:rsidR="00C639EA">
              <w:rPr>
                <w:noProof/>
                <w:webHidden/>
              </w:rPr>
              <w:fldChar w:fldCharType="end"/>
            </w:r>
          </w:hyperlink>
        </w:p>
        <w:p w14:paraId="112BA767" w14:textId="60269CBD" w:rsidR="00C639EA" w:rsidRDefault="00626CD5">
          <w:pPr>
            <w:pStyle w:val="TOC2"/>
            <w:rPr>
              <w:rFonts w:asciiTheme="minorHAnsi" w:eastAsiaTheme="minorEastAsia" w:hAnsiTheme="minorHAnsi"/>
              <w:noProof/>
            </w:rPr>
          </w:pPr>
          <w:hyperlink w:anchor="_Toc83886120" w:history="1">
            <w:r w:rsidR="00C639EA" w:rsidRPr="00075A37">
              <w:rPr>
                <w:rStyle w:val="Hyperlink"/>
                <w:noProof/>
                <w14:scene3d>
                  <w14:camera w14:prst="orthographicFront"/>
                  <w14:lightRig w14:rig="threePt" w14:dir="t">
                    <w14:rot w14:lat="0" w14:lon="0" w14:rev="0"/>
                  </w14:lightRig>
                </w14:scene3d>
              </w:rPr>
              <w:t>4.5</w:t>
            </w:r>
            <w:r w:rsidR="00C639EA">
              <w:rPr>
                <w:rFonts w:asciiTheme="minorHAnsi" w:eastAsiaTheme="minorEastAsia" w:hAnsiTheme="minorHAnsi"/>
                <w:noProof/>
              </w:rPr>
              <w:tab/>
            </w:r>
            <w:r w:rsidR="00C639EA" w:rsidRPr="00075A37">
              <w:rPr>
                <w:rStyle w:val="Hyperlink"/>
                <w:noProof/>
              </w:rPr>
              <w:t>Observatory Assets</w:t>
            </w:r>
            <w:r w:rsidR="00C639EA">
              <w:rPr>
                <w:noProof/>
                <w:webHidden/>
              </w:rPr>
              <w:tab/>
            </w:r>
            <w:r w:rsidR="00C639EA">
              <w:rPr>
                <w:noProof/>
                <w:webHidden/>
              </w:rPr>
              <w:fldChar w:fldCharType="begin"/>
            </w:r>
            <w:r w:rsidR="00C639EA">
              <w:rPr>
                <w:noProof/>
                <w:webHidden/>
              </w:rPr>
              <w:instrText xml:space="preserve"> PAGEREF _Toc83886120 \h </w:instrText>
            </w:r>
            <w:r w:rsidR="00C639EA">
              <w:rPr>
                <w:noProof/>
                <w:webHidden/>
              </w:rPr>
            </w:r>
            <w:r w:rsidR="00C639EA">
              <w:rPr>
                <w:noProof/>
                <w:webHidden/>
              </w:rPr>
              <w:fldChar w:fldCharType="separate"/>
            </w:r>
            <w:r w:rsidR="00103FC3">
              <w:rPr>
                <w:noProof/>
                <w:webHidden/>
              </w:rPr>
              <w:t>20</w:t>
            </w:r>
            <w:r w:rsidR="00C639EA">
              <w:rPr>
                <w:noProof/>
                <w:webHidden/>
              </w:rPr>
              <w:fldChar w:fldCharType="end"/>
            </w:r>
          </w:hyperlink>
        </w:p>
        <w:p w14:paraId="52C1CBB8" w14:textId="7C7AB13E" w:rsidR="00C639EA" w:rsidRDefault="00626CD5">
          <w:pPr>
            <w:pStyle w:val="TOC1"/>
            <w:rPr>
              <w:rFonts w:asciiTheme="minorHAnsi" w:eastAsiaTheme="minorEastAsia" w:hAnsiTheme="minorHAnsi"/>
              <w:b w:val="0"/>
              <w:noProof/>
              <w:sz w:val="22"/>
            </w:rPr>
          </w:pPr>
          <w:hyperlink w:anchor="_Toc83886121" w:history="1">
            <w:r w:rsidR="00C639EA" w:rsidRPr="00075A37">
              <w:rPr>
                <w:rStyle w:val="Hyperlink"/>
                <w:noProof/>
              </w:rPr>
              <w:t>5</w:t>
            </w:r>
            <w:r w:rsidR="00C639EA">
              <w:rPr>
                <w:rFonts w:asciiTheme="minorHAnsi" w:eastAsiaTheme="minorEastAsia" w:hAnsiTheme="minorHAnsi"/>
                <w:b w:val="0"/>
                <w:noProof/>
                <w:sz w:val="22"/>
              </w:rPr>
              <w:tab/>
            </w:r>
            <w:r w:rsidR="00C639EA" w:rsidRPr="00075A37">
              <w:rPr>
                <w:rStyle w:val="Hyperlink"/>
                <w:noProof/>
              </w:rPr>
              <w:t>BROADER IMPACTs</w:t>
            </w:r>
            <w:r w:rsidR="00C639EA">
              <w:rPr>
                <w:noProof/>
                <w:webHidden/>
              </w:rPr>
              <w:tab/>
            </w:r>
            <w:r w:rsidR="00C639EA">
              <w:rPr>
                <w:noProof/>
                <w:webHidden/>
              </w:rPr>
              <w:fldChar w:fldCharType="begin"/>
            </w:r>
            <w:r w:rsidR="00C639EA">
              <w:rPr>
                <w:noProof/>
                <w:webHidden/>
              </w:rPr>
              <w:instrText xml:space="preserve"> PAGEREF _Toc83886121 \h </w:instrText>
            </w:r>
            <w:r w:rsidR="00C639EA">
              <w:rPr>
                <w:noProof/>
                <w:webHidden/>
              </w:rPr>
            </w:r>
            <w:r w:rsidR="00C639EA">
              <w:rPr>
                <w:noProof/>
                <w:webHidden/>
              </w:rPr>
              <w:fldChar w:fldCharType="separate"/>
            </w:r>
            <w:r w:rsidR="00103FC3">
              <w:rPr>
                <w:noProof/>
                <w:webHidden/>
              </w:rPr>
              <w:t>22</w:t>
            </w:r>
            <w:r w:rsidR="00C639EA">
              <w:rPr>
                <w:noProof/>
                <w:webHidden/>
              </w:rPr>
              <w:fldChar w:fldCharType="end"/>
            </w:r>
          </w:hyperlink>
        </w:p>
        <w:p w14:paraId="6FB13F9C" w14:textId="1F42C349" w:rsidR="00C639EA" w:rsidRDefault="00626CD5">
          <w:pPr>
            <w:pStyle w:val="TOC2"/>
            <w:rPr>
              <w:rFonts w:asciiTheme="minorHAnsi" w:eastAsiaTheme="minorEastAsia" w:hAnsiTheme="minorHAnsi"/>
              <w:noProof/>
            </w:rPr>
          </w:pPr>
          <w:hyperlink w:anchor="_Toc83886122" w:history="1">
            <w:r w:rsidR="00C639EA" w:rsidRPr="00075A37">
              <w:rPr>
                <w:rStyle w:val="Hyperlink"/>
                <w:noProof/>
                <w14:scene3d>
                  <w14:camera w14:prst="orthographicFront"/>
                  <w14:lightRig w14:rig="threePt" w14:dir="t">
                    <w14:rot w14:lat="0" w14:lon="0" w14:rev="0"/>
                  </w14:lightRig>
                </w14:scene3d>
              </w:rPr>
              <w:t>5.1</w:t>
            </w:r>
            <w:r w:rsidR="00C639EA">
              <w:rPr>
                <w:rFonts w:asciiTheme="minorHAnsi" w:eastAsiaTheme="minorEastAsia" w:hAnsiTheme="minorHAnsi"/>
                <w:noProof/>
              </w:rPr>
              <w:tab/>
            </w:r>
            <w:r w:rsidR="00C639EA" w:rsidRPr="00075A37">
              <w:rPr>
                <w:rStyle w:val="Hyperlink"/>
                <w:noProof/>
              </w:rPr>
              <w:t>Observer Training</w:t>
            </w:r>
            <w:r w:rsidR="00C639EA">
              <w:rPr>
                <w:noProof/>
                <w:webHidden/>
              </w:rPr>
              <w:tab/>
            </w:r>
            <w:r w:rsidR="00C639EA">
              <w:rPr>
                <w:noProof/>
                <w:webHidden/>
              </w:rPr>
              <w:fldChar w:fldCharType="begin"/>
            </w:r>
            <w:r w:rsidR="00C639EA">
              <w:rPr>
                <w:noProof/>
                <w:webHidden/>
              </w:rPr>
              <w:instrText xml:space="preserve"> PAGEREF _Toc83886122 \h </w:instrText>
            </w:r>
            <w:r w:rsidR="00C639EA">
              <w:rPr>
                <w:noProof/>
                <w:webHidden/>
              </w:rPr>
            </w:r>
            <w:r w:rsidR="00C639EA">
              <w:rPr>
                <w:noProof/>
                <w:webHidden/>
              </w:rPr>
              <w:fldChar w:fldCharType="separate"/>
            </w:r>
            <w:r w:rsidR="00103FC3">
              <w:rPr>
                <w:noProof/>
                <w:webHidden/>
              </w:rPr>
              <w:t>22</w:t>
            </w:r>
            <w:r w:rsidR="00C639EA">
              <w:rPr>
                <w:noProof/>
                <w:webHidden/>
              </w:rPr>
              <w:fldChar w:fldCharType="end"/>
            </w:r>
          </w:hyperlink>
        </w:p>
        <w:p w14:paraId="7DE247D8" w14:textId="4976E220" w:rsidR="00C639EA" w:rsidRDefault="00626CD5">
          <w:pPr>
            <w:pStyle w:val="TOC2"/>
            <w:rPr>
              <w:rFonts w:asciiTheme="minorHAnsi" w:eastAsiaTheme="minorEastAsia" w:hAnsiTheme="minorHAnsi"/>
              <w:noProof/>
            </w:rPr>
          </w:pPr>
          <w:hyperlink w:anchor="_Toc83886123" w:history="1">
            <w:r w:rsidR="00C639EA" w:rsidRPr="00075A37">
              <w:rPr>
                <w:rStyle w:val="Hyperlink"/>
                <w:noProof/>
                <w14:scene3d>
                  <w14:camera w14:prst="orthographicFront"/>
                  <w14:lightRig w14:rig="threePt" w14:dir="t">
                    <w14:rot w14:lat="0" w14:lon="0" w14:rev="0"/>
                  </w14:lightRig>
                </w14:scene3d>
              </w:rPr>
              <w:t>5.2</w:t>
            </w:r>
            <w:r w:rsidR="00C639EA">
              <w:rPr>
                <w:rFonts w:asciiTheme="minorHAnsi" w:eastAsiaTheme="minorEastAsia" w:hAnsiTheme="minorHAnsi"/>
                <w:noProof/>
              </w:rPr>
              <w:tab/>
            </w:r>
            <w:r w:rsidR="00C639EA" w:rsidRPr="00075A37">
              <w:rPr>
                <w:rStyle w:val="Hyperlink"/>
                <w:noProof/>
              </w:rPr>
              <w:t>Astronomy Community Outreach</w:t>
            </w:r>
            <w:r w:rsidR="00C639EA">
              <w:rPr>
                <w:noProof/>
                <w:webHidden/>
              </w:rPr>
              <w:tab/>
            </w:r>
            <w:r w:rsidR="00C639EA">
              <w:rPr>
                <w:noProof/>
                <w:webHidden/>
              </w:rPr>
              <w:fldChar w:fldCharType="begin"/>
            </w:r>
            <w:r w:rsidR="00C639EA">
              <w:rPr>
                <w:noProof/>
                <w:webHidden/>
              </w:rPr>
              <w:instrText xml:space="preserve"> PAGEREF _Toc83886123 \h </w:instrText>
            </w:r>
            <w:r w:rsidR="00C639EA">
              <w:rPr>
                <w:noProof/>
                <w:webHidden/>
              </w:rPr>
            </w:r>
            <w:r w:rsidR="00C639EA">
              <w:rPr>
                <w:noProof/>
                <w:webHidden/>
              </w:rPr>
              <w:fldChar w:fldCharType="separate"/>
            </w:r>
            <w:r w:rsidR="00103FC3">
              <w:rPr>
                <w:noProof/>
                <w:webHidden/>
              </w:rPr>
              <w:t>23</w:t>
            </w:r>
            <w:r w:rsidR="00C639EA">
              <w:rPr>
                <w:noProof/>
                <w:webHidden/>
              </w:rPr>
              <w:fldChar w:fldCharType="end"/>
            </w:r>
          </w:hyperlink>
        </w:p>
        <w:p w14:paraId="6CEB1331" w14:textId="1FA47080" w:rsidR="00C639EA" w:rsidRDefault="00626CD5">
          <w:pPr>
            <w:pStyle w:val="TOC2"/>
            <w:rPr>
              <w:rFonts w:asciiTheme="minorHAnsi" w:eastAsiaTheme="minorEastAsia" w:hAnsiTheme="minorHAnsi"/>
              <w:noProof/>
            </w:rPr>
          </w:pPr>
          <w:hyperlink w:anchor="_Toc83886124" w:history="1">
            <w:r w:rsidR="00C639EA" w:rsidRPr="00075A37">
              <w:rPr>
                <w:rStyle w:val="Hyperlink"/>
                <w:noProof/>
                <w14:scene3d>
                  <w14:camera w14:prst="orthographicFront"/>
                  <w14:lightRig w14:rig="threePt" w14:dir="t">
                    <w14:rot w14:lat="0" w14:lon="0" w14:rev="0"/>
                  </w14:lightRig>
                </w14:scene3d>
              </w:rPr>
              <w:t>5.3</w:t>
            </w:r>
            <w:r w:rsidR="00C639EA">
              <w:rPr>
                <w:rFonts w:asciiTheme="minorHAnsi" w:eastAsiaTheme="minorEastAsia" w:hAnsiTheme="minorHAnsi"/>
                <w:noProof/>
              </w:rPr>
              <w:tab/>
            </w:r>
            <w:r w:rsidR="00C639EA" w:rsidRPr="00075A37">
              <w:rPr>
                <w:rStyle w:val="Hyperlink"/>
                <w:noProof/>
              </w:rPr>
              <w:t>Formal Educational Programs</w:t>
            </w:r>
            <w:r w:rsidR="00C639EA">
              <w:rPr>
                <w:noProof/>
                <w:webHidden/>
              </w:rPr>
              <w:tab/>
            </w:r>
            <w:r w:rsidR="00C639EA">
              <w:rPr>
                <w:noProof/>
                <w:webHidden/>
              </w:rPr>
              <w:fldChar w:fldCharType="begin"/>
            </w:r>
            <w:r w:rsidR="00C639EA">
              <w:rPr>
                <w:noProof/>
                <w:webHidden/>
              </w:rPr>
              <w:instrText xml:space="preserve"> PAGEREF _Toc83886124 \h </w:instrText>
            </w:r>
            <w:r w:rsidR="00C639EA">
              <w:rPr>
                <w:noProof/>
                <w:webHidden/>
              </w:rPr>
            </w:r>
            <w:r w:rsidR="00C639EA">
              <w:rPr>
                <w:noProof/>
                <w:webHidden/>
              </w:rPr>
              <w:fldChar w:fldCharType="separate"/>
            </w:r>
            <w:r w:rsidR="00103FC3">
              <w:rPr>
                <w:noProof/>
                <w:webHidden/>
              </w:rPr>
              <w:t>23</w:t>
            </w:r>
            <w:r w:rsidR="00C639EA">
              <w:rPr>
                <w:noProof/>
                <w:webHidden/>
              </w:rPr>
              <w:fldChar w:fldCharType="end"/>
            </w:r>
          </w:hyperlink>
        </w:p>
        <w:p w14:paraId="114C2408" w14:textId="02AAD675" w:rsidR="00C639EA" w:rsidRDefault="00626CD5">
          <w:pPr>
            <w:pStyle w:val="TOC2"/>
            <w:rPr>
              <w:rFonts w:asciiTheme="minorHAnsi" w:eastAsiaTheme="minorEastAsia" w:hAnsiTheme="minorHAnsi"/>
              <w:noProof/>
            </w:rPr>
          </w:pPr>
          <w:hyperlink w:anchor="_Toc83886125" w:history="1">
            <w:r w:rsidR="00C639EA" w:rsidRPr="00075A37">
              <w:rPr>
                <w:rStyle w:val="Hyperlink"/>
                <w:noProof/>
                <w14:scene3d>
                  <w14:camera w14:prst="orthographicFront"/>
                  <w14:lightRig w14:rig="threePt" w14:dir="t">
                    <w14:rot w14:lat="0" w14:lon="0" w14:rev="0"/>
                  </w14:lightRig>
                </w14:scene3d>
              </w:rPr>
              <w:t>5.4</w:t>
            </w:r>
            <w:r w:rsidR="00C639EA">
              <w:rPr>
                <w:rFonts w:asciiTheme="minorHAnsi" w:eastAsiaTheme="minorEastAsia" w:hAnsiTheme="minorHAnsi"/>
                <w:noProof/>
              </w:rPr>
              <w:tab/>
            </w:r>
            <w:r w:rsidR="00C639EA" w:rsidRPr="00075A37">
              <w:rPr>
                <w:rStyle w:val="Hyperlink"/>
                <w:noProof/>
              </w:rPr>
              <w:t>Supporting a STEM Workforce</w:t>
            </w:r>
            <w:r w:rsidR="00C639EA">
              <w:rPr>
                <w:noProof/>
                <w:webHidden/>
              </w:rPr>
              <w:tab/>
            </w:r>
            <w:r w:rsidR="00C639EA">
              <w:rPr>
                <w:noProof/>
                <w:webHidden/>
              </w:rPr>
              <w:fldChar w:fldCharType="begin"/>
            </w:r>
            <w:r w:rsidR="00C639EA">
              <w:rPr>
                <w:noProof/>
                <w:webHidden/>
              </w:rPr>
              <w:instrText xml:space="preserve"> PAGEREF _Toc83886125 \h </w:instrText>
            </w:r>
            <w:r w:rsidR="00C639EA">
              <w:rPr>
                <w:noProof/>
                <w:webHidden/>
              </w:rPr>
            </w:r>
            <w:r w:rsidR="00C639EA">
              <w:rPr>
                <w:noProof/>
                <w:webHidden/>
              </w:rPr>
              <w:fldChar w:fldCharType="separate"/>
            </w:r>
            <w:r w:rsidR="00103FC3">
              <w:rPr>
                <w:noProof/>
                <w:webHidden/>
              </w:rPr>
              <w:t>26</w:t>
            </w:r>
            <w:r w:rsidR="00C639EA">
              <w:rPr>
                <w:noProof/>
                <w:webHidden/>
              </w:rPr>
              <w:fldChar w:fldCharType="end"/>
            </w:r>
          </w:hyperlink>
        </w:p>
        <w:p w14:paraId="310F09AB" w14:textId="5540AD25" w:rsidR="00C639EA" w:rsidRDefault="00626CD5">
          <w:pPr>
            <w:pStyle w:val="TOC2"/>
            <w:rPr>
              <w:rFonts w:asciiTheme="minorHAnsi" w:eastAsiaTheme="minorEastAsia" w:hAnsiTheme="minorHAnsi"/>
              <w:noProof/>
            </w:rPr>
          </w:pPr>
          <w:hyperlink w:anchor="_Toc83886126" w:history="1">
            <w:r w:rsidR="00C639EA" w:rsidRPr="00075A37">
              <w:rPr>
                <w:rStyle w:val="Hyperlink"/>
                <w:noProof/>
                <w14:scene3d>
                  <w14:camera w14:prst="orthographicFront"/>
                  <w14:lightRig w14:rig="threePt" w14:dir="t">
                    <w14:rot w14:lat="0" w14:lon="0" w14:rev="0"/>
                  </w14:lightRig>
                </w14:scene3d>
              </w:rPr>
              <w:t>5.5</w:t>
            </w:r>
            <w:r w:rsidR="00C639EA">
              <w:rPr>
                <w:rFonts w:asciiTheme="minorHAnsi" w:eastAsiaTheme="minorEastAsia" w:hAnsiTheme="minorHAnsi"/>
                <w:noProof/>
              </w:rPr>
              <w:tab/>
            </w:r>
            <w:r w:rsidR="00C639EA" w:rsidRPr="00075A37">
              <w:rPr>
                <w:rStyle w:val="Hyperlink"/>
                <w:noProof/>
              </w:rPr>
              <w:t>Externally Run Programs Supported by GBO</w:t>
            </w:r>
            <w:r w:rsidR="00C639EA">
              <w:rPr>
                <w:noProof/>
                <w:webHidden/>
              </w:rPr>
              <w:tab/>
            </w:r>
            <w:r w:rsidR="00C639EA">
              <w:rPr>
                <w:noProof/>
                <w:webHidden/>
              </w:rPr>
              <w:fldChar w:fldCharType="begin"/>
            </w:r>
            <w:r w:rsidR="00C639EA">
              <w:rPr>
                <w:noProof/>
                <w:webHidden/>
              </w:rPr>
              <w:instrText xml:space="preserve"> PAGEREF _Toc83886126 \h </w:instrText>
            </w:r>
            <w:r w:rsidR="00C639EA">
              <w:rPr>
                <w:noProof/>
                <w:webHidden/>
              </w:rPr>
            </w:r>
            <w:r w:rsidR="00C639EA">
              <w:rPr>
                <w:noProof/>
                <w:webHidden/>
              </w:rPr>
              <w:fldChar w:fldCharType="separate"/>
            </w:r>
            <w:r w:rsidR="00103FC3">
              <w:rPr>
                <w:noProof/>
                <w:webHidden/>
              </w:rPr>
              <w:t>27</w:t>
            </w:r>
            <w:r w:rsidR="00C639EA">
              <w:rPr>
                <w:noProof/>
                <w:webHidden/>
              </w:rPr>
              <w:fldChar w:fldCharType="end"/>
            </w:r>
          </w:hyperlink>
        </w:p>
        <w:p w14:paraId="28F2B8E5" w14:textId="6F3C56B4" w:rsidR="00C639EA" w:rsidRDefault="00626CD5">
          <w:pPr>
            <w:pStyle w:val="TOC2"/>
            <w:rPr>
              <w:rFonts w:asciiTheme="minorHAnsi" w:eastAsiaTheme="minorEastAsia" w:hAnsiTheme="minorHAnsi"/>
              <w:noProof/>
            </w:rPr>
          </w:pPr>
          <w:hyperlink w:anchor="_Toc83886127" w:history="1">
            <w:r w:rsidR="00C639EA" w:rsidRPr="00075A37">
              <w:rPr>
                <w:rStyle w:val="Hyperlink"/>
                <w:noProof/>
                <w14:scene3d>
                  <w14:camera w14:prst="orthographicFront"/>
                  <w14:lightRig w14:rig="threePt" w14:dir="t">
                    <w14:rot w14:lat="0" w14:lon="0" w14:rev="0"/>
                  </w14:lightRig>
                </w14:scene3d>
              </w:rPr>
              <w:t>5.6</w:t>
            </w:r>
            <w:r w:rsidR="00C639EA">
              <w:rPr>
                <w:rFonts w:asciiTheme="minorHAnsi" w:eastAsiaTheme="minorEastAsia" w:hAnsiTheme="minorHAnsi"/>
                <w:noProof/>
              </w:rPr>
              <w:tab/>
            </w:r>
            <w:r w:rsidR="00C639EA" w:rsidRPr="00075A37">
              <w:rPr>
                <w:rStyle w:val="Hyperlink"/>
                <w:noProof/>
              </w:rPr>
              <w:t>Public Outreach and Visitor Programs</w:t>
            </w:r>
            <w:r w:rsidR="00C639EA">
              <w:rPr>
                <w:noProof/>
                <w:webHidden/>
              </w:rPr>
              <w:tab/>
            </w:r>
            <w:r w:rsidR="00C639EA">
              <w:rPr>
                <w:noProof/>
                <w:webHidden/>
              </w:rPr>
              <w:fldChar w:fldCharType="begin"/>
            </w:r>
            <w:r w:rsidR="00C639EA">
              <w:rPr>
                <w:noProof/>
                <w:webHidden/>
              </w:rPr>
              <w:instrText xml:space="preserve"> PAGEREF _Toc83886127 \h </w:instrText>
            </w:r>
            <w:r w:rsidR="00C639EA">
              <w:rPr>
                <w:noProof/>
                <w:webHidden/>
              </w:rPr>
            </w:r>
            <w:r w:rsidR="00C639EA">
              <w:rPr>
                <w:noProof/>
                <w:webHidden/>
              </w:rPr>
              <w:fldChar w:fldCharType="separate"/>
            </w:r>
            <w:r w:rsidR="00103FC3">
              <w:rPr>
                <w:noProof/>
                <w:webHidden/>
              </w:rPr>
              <w:t>28</w:t>
            </w:r>
            <w:r w:rsidR="00C639EA">
              <w:rPr>
                <w:noProof/>
                <w:webHidden/>
              </w:rPr>
              <w:fldChar w:fldCharType="end"/>
            </w:r>
          </w:hyperlink>
        </w:p>
        <w:p w14:paraId="02ABDF85" w14:textId="720CA484" w:rsidR="00C639EA" w:rsidRDefault="00626CD5">
          <w:pPr>
            <w:pStyle w:val="TOC2"/>
            <w:rPr>
              <w:rFonts w:asciiTheme="minorHAnsi" w:eastAsiaTheme="minorEastAsia" w:hAnsiTheme="minorHAnsi"/>
              <w:noProof/>
            </w:rPr>
          </w:pPr>
          <w:hyperlink w:anchor="_Toc83886128" w:history="1">
            <w:r w:rsidR="00C639EA" w:rsidRPr="00075A37">
              <w:rPr>
                <w:rStyle w:val="Hyperlink"/>
                <w:noProof/>
                <w14:scene3d>
                  <w14:camera w14:prst="orthographicFront"/>
                  <w14:lightRig w14:rig="threePt" w14:dir="t">
                    <w14:rot w14:lat="0" w14:lon="0" w14:rev="0"/>
                  </w14:lightRig>
                </w14:scene3d>
              </w:rPr>
              <w:t>5.7</w:t>
            </w:r>
            <w:r w:rsidR="00C639EA">
              <w:rPr>
                <w:rFonts w:asciiTheme="minorHAnsi" w:eastAsiaTheme="minorEastAsia" w:hAnsiTheme="minorHAnsi"/>
                <w:noProof/>
              </w:rPr>
              <w:tab/>
            </w:r>
            <w:r w:rsidR="00C639EA" w:rsidRPr="00075A37">
              <w:rPr>
                <w:rStyle w:val="Hyperlink"/>
                <w:noProof/>
              </w:rPr>
              <w:t>Community Outreach</w:t>
            </w:r>
            <w:r w:rsidR="00C639EA">
              <w:rPr>
                <w:noProof/>
                <w:webHidden/>
              </w:rPr>
              <w:tab/>
            </w:r>
            <w:r w:rsidR="00C639EA">
              <w:rPr>
                <w:noProof/>
                <w:webHidden/>
              </w:rPr>
              <w:fldChar w:fldCharType="begin"/>
            </w:r>
            <w:r w:rsidR="00C639EA">
              <w:rPr>
                <w:noProof/>
                <w:webHidden/>
              </w:rPr>
              <w:instrText xml:space="preserve"> PAGEREF _Toc83886128 \h </w:instrText>
            </w:r>
            <w:r w:rsidR="00C639EA">
              <w:rPr>
                <w:noProof/>
                <w:webHidden/>
              </w:rPr>
            </w:r>
            <w:r w:rsidR="00C639EA">
              <w:rPr>
                <w:noProof/>
                <w:webHidden/>
              </w:rPr>
              <w:fldChar w:fldCharType="separate"/>
            </w:r>
            <w:r w:rsidR="00103FC3">
              <w:rPr>
                <w:noProof/>
                <w:webHidden/>
              </w:rPr>
              <w:t>29</w:t>
            </w:r>
            <w:r w:rsidR="00C639EA">
              <w:rPr>
                <w:noProof/>
                <w:webHidden/>
              </w:rPr>
              <w:fldChar w:fldCharType="end"/>
            </w:r>
          </w:hyperlink>
        </w:p>
        <w:p w14:paraId="16AA98E2" w14:textId="10394174" w:rsidR="00C639EA" w:rsidRDefault="00626CD5">
          <w:pPr>
            <w:pStyle w:val="TOC2"/>
            <w:rPr>
              <w:rFonts w:asciiTheme="minorHAnsi" w:eastAsiaTheme="minorEastAsia" w:hAnsiTheme="minorHAnsi"/>
              <w:noProof/>
            </w:rPr>
          </w:pPr>
          <w:hyperlink w:anchor="_Toc83886129" w:history="1">
            <w:r w:rsidR="00C639EA" w:rsidRPr="00075A37">
              <w:rPr>
                <w:rStyle w:val="Hyperlink"/>
                <w:noProof/>
                <w14:scene3d>
                  <w14:camera w14:prst="orthographicFront"/>
                  <w14:lightRig w14:rig="threePt" w14:dir="t">
                    <w14:rot w14:lat="0" w14:lon="0" w14:rev="0"/>
                  </w14:lightRig>
                </w14:scene3d>
              </w:rPr>
              <w:t>5.8</w:t>
            </w:r>
            <w:r w:rsidR="00C639EA">
              <w:rPr>
                <w:rFonts w:asciiTheme="minorHAnsi" w:eastAsiaTheme="minorEastAsia" w:hAnsiTheme="minorHAnsi"/>
                <w:noProof/>
              </w:rPr>
              <w:tab/>
            </w:r>
            <w:r w:rsidR="00C639EA" w:rsidRPr="00075A37">
              <w:rPr>
                <w:rStyle w:val="Hyperlink"/>
                <w:noProof/>
              </w:rPr>
              <w:t>Diversity and Inclusion Programs</w:t>
            </w:r>
            <w:r w:rsidR="00C639EA">
              <w:rPr>
                <w:noProof/>
                <w:webHidden/>
              </w:rPr>
              <w:tab/>
            </w:r>
            <w:r w:rsidR="00C639EA">
              <w:rPr>
                <w:noProof/>
                <w:webHidden/>
              </w:rPr>
              <w:fldChar w:fldCharType="begin"/>
            </w:r>
            <w:r w:rsidR="00C639EA">
              <w:rPr>
                <w:noProof/>
                <w:webHidden/>
              </w:rPr>
              <w:instrText xml:space="preserve"> PAGEREF _Toc83886129 \h </w:instrText>
            </w:r>
            <w:r w:rsidR="00C639EA">
              <w:rPr>
                <w:noProof/>
                <w:webHidden/>
              </w:rPr>
            </w:r>
            <w:r w:rsidR="00C639EA">
              <w:rPr>
                <w:noProof/>
                <w:webHidden/>
              </w:rPr>
              <w:fldChar w:fldCharType="separate"/>
            </w:r>
            <w:r w:rsidR="00103FC3">
              <w:rPr>
                <w:noProof/>
                <w:webHidden/>
              </w:rPr>
              <w:t>30</w:t>
            </w:r>
            <w:r w:rsidR="00C639EA">
              <w:rPr>
                <w:noProof/>
                <w:webHidden/>
              </w:rPr>
              <w:fldChar w:fldCharType="end"/>
            </w:r>
          </w:hyperlink>
        </w:p>
        <w:p w14:paraId="29B7C5FC" w14:textId="6FD02A29" w:rsidR="00C639EA" w:rsidRDefault="00626CD5">
          <w:pPr>
            <w:pStyle w:val="TOC1"/>
            <w:rPr>
              <w:rFonts w:asciiTheme="minorHAnsi" w:eastAsiaTheme="minorEastAsia" w:hAnsiTheme="minorHAnsi"/>
              <w:b w:val="0"/>
              <w:noProof/>
              <w:sz w:val="22"/>
            </w:rPr>
          </w:pPr>
          <w:hyperlink w:anchor="_Toc83886130" w:history="1">
            <w:r w:rsidR="00C639EA" w:rsidRPr="00075A37">
              <w:rPr>
                <w:rStyle w:val="Hyperlink"/>
                <w:noProof/>
              </w:rPr>
              <w:t>6</w:t>
            </w:r>
            <w:r w:rsidR="00C639EA">
              <w:rPr>
                <w:rFonts w:asciiTheme="minorHAnsi" w:eastAsiaTheme="minorEastAsia" w:hAnsiTheme="minorHAnsi"/>
                <w:b w:val="0"/>
                <w:noProof/>
                <w:sz w:val="22"/>
              </w:rPr>
              <w:tab/>
            </w:r>
            <w:r w:rsidR="00C639EA" w:rsidRPr="00075A37">
              <w:rPr>
                <w:rStyle w:val="Hyperlink"/>
                <w:noProof/>
              </w:rPr>
              <w:t>OBSERVATORY ORGANIZATION</w:t>
            </w:r>
            <w:r w:rsidR="00C639EA">
              <w:rPr>
                <w:noProof/>
                <w:webHidden/>
              </w:rPr>
              <w:tab/>
            </w:r>
            <w:r w:rsidR="00C639EA">
              <w:rPr>
                <w:noProof/>
                <w:webHidden/>
              </w:rPr>
              <w:fldChar w:fldCharType="begin"/>
            </w:r>
            <w:r w:rsidR="00C639EA">
              <w:rPr>
                <w:noProof/>
                <w:webHidden/>
              </w:rPr>
              <w:instrText xml:space="preserve"> PAGEREF _Toc83886130 \h </w:instrText>
            </w:r>
            <w:r w:rsidR="00C639EA">
              <w:rPr>
                <w:noProof/>
                <w:webHidden/>
              </w:rPr>
            </w:r>
            <w:r w:rsidR="00C639EA">
              <w:rPr>
                <w:noProof/>
                <w:webHidden/>
              </w:rPr>
              <w:fldChar w:fldCharType="separate"/>
            </w:r>
            <w:r w:rsidR="00103FC3">
              <w:rPr>
                <w:noProof/>
                <w:webHidden/>
              </w:rPr>
              <w:t>31</w:t>
            </w:r>
            <w:r w:rsidR="00C639EA">
              <w:rPr>
                <w:noProof/>
                <w:webHidden/>
              </w:rPr>
              <w:fldChar w:fldCharType="end"/>
            </w:r>
          </w:hyperlink>
        </w:p>
        <w:p w14:paraId="0A3321A7" w14:textId="1407E919" w:rsidR="00C639EA" w:rsidRDefault="00626CD5">
          <w:pPr>
            <w:pStyle w:val="TOC2"/>
            <w:rPr>
              <w:rFonts w:asciiTheme="minorHAnsi" w:eastAsiaTheme="minorEastAsia" w:hAnsiTheme="minorHAnsi"/>
              <w:noProof/>
            </w:rPr>
          </w:pPr>
          <w:hyperlink w:anchor="_Toc83886131" w:history="1">
            <w:r w:rsidR="00C639EA" w:rsidRPr="00075A37">
              <w:rPr>
                <w:rStyle w:val="Hyperlink"/>
                <w:noProof/>
                <w14:scene3d>
                  <w14:camera w14:prst="orthographicFront"/>
                  <w14:lightRig w14:rig="threePt" w14:dir="t">
                    <w14:rot w14:lat="0" w14:lon="0" w14:rev="0"/>
                  </w14:lightRig>
                </w14:scene3d>
              </w:rPr>
              <w:t>6.1</w:t>
            </w:r>
            <w:r w:rsidR="00C639EA">
              <w:rPr>
                <w:rFonts w:asciiTheme="minorHAnsi" w:eastAsiaTheme="minorEastAsia" w:hAnsiTheme="minorHAnsi"/>
                <w:noProof/>
              </w:rPr>
              <w:tab/>
            </w:r>
            <w:r w:rsidR="00C639EA" w:rsidRPr="00075A37">
              <w:rPr>
                <w:rStyle w:val="Hyperlink"/>
                <w:noProof/>
              </w:rPr>
              <w:t>Organizational Structure</w:t>
            </w:r>
            <w:r w:rsidR="00C639EA">
              <w:rPr>
                <w:noProof/>
                <w:webHidden/>
              </w:rPr>
              <w:tab/>
            </w:r>
            <w:r w:rsidR="00C639EA">
              <w:rPr>
                <w:noProof/>
                <w:webHidden/>
              </w:rPr>
              <w:fldChar w:fldCharType="begin"/>
            </w:r>
            <w:r w:rsidR="00C639EA">
              <w:rPr>
                <w:noProof/>
                <w:webHidden/>
              </w:rPr>
              <w:instrText xml:space="preserve"> PAGEREF _Toc83886131 \h </w:instrText>
            </w:r>
            <w:r w:rsidR="00C639EA">
              <w:rPr>
                <w:noProof/>
                <w:webHidden/>
              </w:rPr>
            </w:r>
            <w:r w:rsidR="00C639EA">
              <w:rPr>
                <w:noProof/>
                <w:webHidden/>
              </w:rPr>
              <w:fldChar w:fldCharType="separate"/>
            </w:r>
            <w:r w:rsidR="00103FC3">
              <w:rPr>
                <w:noProof/>
                <w:webHidden/>
              </w:rPr>
              <w:t>31</w:t>
            </w:r>
            <w:r w:rsidR="00C639EA">
              <w:rPr>
                <w:noProof/>
                <w:webHidden/>
              </w:rPr>
              <w:fldChar w:fldCharType="end"/>
            </w:r>
          </w:hyperlink>
        </w:p>
        <w:p w14:paraId="669EB39F" w14:textId="47EC8A03" w:rsidR="00C639EA" w:rsidRDefault="00626CD5">
          <w:pPr>
            <w:pStyle w:val="TOC2"/>
            <w:rPr>
              <w:rFonts w:asciiTheme="minorHAnsi" w:eastAsiaTheme="minorEastAsia" w:hAnsiTheme="minorHAnsi"/>
              <w:noProof/>
            </w:rPr>
          </w:pPr>
          <w:hyperlink w:anchor="_Toc83886132" w:history="1">
            <w:r w:rsidR="00C639EA" w:rsidRPr="00075A37">
              <w:rPr>
                <w:rStyle w:val="Hyperlink"/>
                <w:noProof/>
                <w14:scene3d>
                  <w14:camera w14:prst="orthographicFront"/>
                  <w14:lightRig w14:rig="threePt" w14:dir="t">
                    <w14:rot w14:lat="0" w14:lon="0" w14:rev="0"/>
                  </w14:lightRig>
                </w14:scene3d>
              </w:rPr>
              <w:t>6.2</w:t>
            </w:r>
            <w:r w:rsidR="00C639EA">
              <w:rPr>
                <w:rFonts w:asciiTheme="minorHAnsi" w:eastAsiaTheme="minorEastAsia" w:hAnsiTheme="minorHAnsi"/>
                <w:noProof/>
              </w:rPr>
              <w:tab/>
            </w:r>
            <w:r w:rsidR="00C639EA" w:rsidRPr="00075A37">
              <w:rPr>
                <w:rStyle w:val="Hyperlink"/>
                <w:noProof/>
              </w:rPr>
              <w:t>Director’s Office</w:t>
            </w:r>
            <w:r w:rsidR="00C639EA">
              <w:rPr>
                <w:noProof/>
                <w:webHidden/>
              </w:rPr>
              <w:tab/>
            </w:r>
            <w:r w:rsidR="00C639EA">
              <w:rPr>
                <w:noProof/>
                <w:webHidden/>
              </w:rPr>
              <w:fldChar w:fldCharType="begin"/>
            </w:r>
            <w:r w:rsidR="00C639EA">
              <w:rPr>
                <w:noProof/>
                <w:webHidden/>
              </w:rPr>
              <w:instrText xml:space="preserve"> PAGEREF _Toc83886132 \h </w:instrText>
            </w:r>
            <w:r w:rsidR="00C639EA">
              <w:rPr>
                <w:noProof/>
                <w:webHidden/>
              </w:rPr>
            </w:r>
            <w:r w:rsidR="00C639EA">
              <w:rPr>
                <w:noProof/>
                <w:webHidden/>
              </w:rPr>
              <w:fldChar w:fldCharType="separate"/>
            </w:r>
            <w:r w:rsidR="00103FC3">
              <w:rPr>
                <w:noProof/>
                <w:webHidden/>
              </w:rPr>
              <w:t>32</w:t>
            </w:r>
            <w:r w:rsidR="00C639EA">
              <w:rPr>
                <w:noProof/>
                <w:webHidden/>
              </w:rPr>
              <w:fldChar w:fldCharType="end"/>
            </w:r>
          </w:hyperlink>
        </w:p>
        <w:p w14:paraId="715DBE30" w14:textId="77972143" w:rsidR="00C639EA" w:rsidRDefault="00626CD5">
          <w:pPr>
            <w:pStyle w:val="TOC2"/>
            <w:rPr>
              <w:rFonts w:asciiTheme="minorHAnsi" w:eastAsiaTheme="minorEastAsia" w:hAnsiTheme="minorHAnsi"/>
              <w:noProof/>
            </w:rPr>
          </w:pPr>
          <w:hyperlink w:anchor="_Toc83886133" w:history="1">
            <w:r w:rsidR="00C639EA" w:rsidRPr="00075A37">
              <w:rPr>
                <w:rStyle w:val="Hyperlink"/>
                <w:noProof/>
                <w14:scene3d>
                  <w14:camera w14:prst="orthographicFront"/>
                  <w14:lightRig w14:rig="threePt" w14:dir="t">
                    <w14:rot w14:lat="0" w14:lon="0" w14:rev="0"/>
                  </w14:lightRig>
                </w14:scene3d>
              </w:rPr>
              <w:t>6.3</w:t>
            </w:r>
            <w:r w:rsidR="00C639EA">
              <w:rPr>
                <w:rFonts w:asciiTheme="minorHAnsi" w:eastAsiaTheme="minorEastAsia" w:hAnsiTheme="minorHAnsi"/>
                <w:noProof/>
              </w:rPr>
              <w:tab/>
            </w:r>
            <w:r w:rsidR="00C639EA" w:rsidRPr="00075A37">
              <w:rPr>
                <w:rStyle w:val="Hyperlink"/>
                <w:noProof/>
              </w:rPr>
              <w:t>Science</w:t>
            </w:r>
            <w:r w:rsidR="00C639EA">
              <w:rPr>
                <w:noProof/>
                <w:webHidden/>
              </w:rPr>
              <w:tab/>
            </w:r>
            <w:r w:rsidR="00C639EA">
              <w:rPr>
                <w:noProof/>
                <w:webHidden/>
              </w:rPr>
              <w:fldChar w:fldCharType="begin"/>
            </w:r>
            <w:r w:rsidR="00C639EA">
              <w:rPr>
                <w:noProof/>
                <w:webHidden/>
              </w:rPr>
              <w:instrText xml:space="preserve"> PAGEREF _Toc83886133 \h </w:instrText>
            </w:r>
            <w:r w:rsidR="00C639EA">
              <w:rPr>
                <w:noProof/>
                <w:webHidden/>
              </w:rPr>
            </w:r>
            <w:r w:rsidR="00C639EA">
              <w:rPr>
                <w:noProof/>
                <w:webHidden/>
              </w:rPr>
              <w:fldChar w:fldCharType="separate"/>
            </w:r>
            <w:r w:rsidR="00103FC3">
              <w:rPr>
                <w:noProof/>
                <w:webHidden/>
              </w:rPr>
              <w:t>33</w:t>
            </w:r>
            <w:r w:rsidR="00C639EA">
              <w:rPr>
                <w:noProof/>
                <w:webHidden/>
              </w:rPr>
              <w:fldChar w:fldCharType="end"/>
            </w:r>
          </w:hyperlink>
        </w:p>
        <w:p w14:paraId="34563911" w14:textId="7375AE86" w:rsidR="00C639EA" w:rsidRDefault="00626CD5">
          <w:pPr>
            <w:pStyle w:val="TOC2"/>
            <w:rPr>
              <w:rFonts w:asciiTheme="minorHAnsi" w:eastAsiaTheme="minorEastAsia" w:hAnsiTheme="minorHAnsi"/>
              <w:noProof/>
            </w:rPr>
          </w:pPr>
          <w:hyperlink w:anchor="_Toc83886134" w:history="1">
            <w:r w:rsidR="00C639EA" w:rsidRPr="00075A37">
              <w:rPr>
                <w:rStyle w:val="Hyperlink"/>
                <w:noProof/>
                <w14:scene3d>
                  <w14:camera w14:prst="orthographicFront"/>
                  <w14:lightRig w14:rig="threePt" w14:dir="t">
                    <w14:rot w14:lat="0" w14:lon="0" w14:rev="0"/>
                  </w14:lightRig>
                </w14:scene3d>
              </w:rPr>
              <w:t>6.4</w:t>
            </w:r>
            <w:r w:rsidR="00C639EA">
              <w:rPr>
                <w:rFonts w:asciiTheme="minorHAnsi" w:eastAsiaTheme="minorEastAsia" w:hAnsiTheme="minorHAnsi"/>
                <w:noProof/>
              </w:rPr>
              <w:tab/>
            </w:r>
            <w:r w:rsidR="00C639EA" w:rsidRPr="00075A37">
              <w:rPr>
                <w:rStyle w:val="Hyperlink"/>
                <w:noProof/>
              </w:rPr>
              <w:t>GBT Science Operations</w:t>
            </w:r>
            <w:r w:rsidR="00C639EA">
              <w:rPr>
                <w:noProof/>
                <w:webHidden/>
              </w:rPr>
              <w:tab/>
            </w:r>
            <w:r w:rsidR="00C639EA">
              <w:rPr>
                <w:noProof/>
                <w:webHidden/>
              </w:rPr>
              <w:fldChar w:fldCharType="begin"/>
            </w:r>
            <w:r w:rsidR="00C639EA">
              <w:rPr>
                <w:noProof/>
                <w:webHidden/>
              </w:rPr>
              <w:instrText xml:space="preserve"> PAGEREF _Toc83886134 \h </w:instrText>
            </w:r>
            <w:r w:rsidR="00C639EA">
              <w:rPr>
                <w:noProof/>
                <w:webHidden/>
              </w:rPr>
            </w:r>
            <w:r w:rsidR="00C639EA">
              <w:rPr>
                <w:noProof/>
                <w:webHidden/>
              </w:rPr>
              <w:fldChar w:fldCharType="separate"/>
            </w:r>
            <w:r w:rsidR="00103FC3">
              <w:rPr>
                <w:noProof/>
                <w:webHidden/>
              </w:rPr>
              <w:t>34</w:t>
            </w:r>
            <w:r w:rsidR="00C639EA">
              <w:rPr>
                <w:noProof/>
                <w:webHidden/>
              </w:rPr>
              <w:fldChar w:fldCharType="end"/>
            </w:r>
          </w:hyperlink>
        </w:p>
        <w:p w14:paraId="6AD7FDF1" w14:textId="366EBB3C" w:rsidR="00C639EA" w:rsidRDefault="00626CD5">
          <w:pPr>
            <w:pStyle w:val="TOC2"/>
            <w:rPr>
              <w:rFonts w:asciiTheme="minorHAnsi" w:eastAsiaTheme="minorEastAsia" w:hAnsiTheme="minorHAnsi"/>
              <w:noProof/>
            </w:rPr>
          </w:pPr>
          <w:hyperlink w:anchor="_Toc83886135" w:history="1">
            <w:r w:rsidR="00C639EA" w:rsidRPr="00075A37">
              <w:rPr>
                <w:rStyle w:val="Hyperlink"/>
                <w:noProof/>
                <w14:scene3d>
                  <w14:camera w14:prst="orthographicFront"/>
                  <w14:lightRig w14:rig="threePt" w14:dir="t">
                    <w14:rot w14:lat="0" w14:lon="0" w14:rev="0"/>
                  </w14:lightRig>
                </w14:scene3d>
              </w:rPr>
              <w:t>6.5</w:t>
            </w:r>
            <w:r w:rsidR="00C639EA">
              <w:rPr>
                <w:rFonts w:asciiTheme="minorHAnsi" w:eastAsiaTheme="minorEastAsia" w:hAnsiTheme="minorHAnsi"/>
                <w:noProof/>
              </w:rPr>
              <w:tab/>
            </w:r>
            <w:r w:rsidR="00C639EA" w:rsidRPr="00075A37">
              <w:rPr>
                <w:rStyle w:val="Hyperlink"/>
                <w:noProof/>
              </w:rPr>
              <w:t>Electronics</w:t>
            </w:r>
            <w:r w:rsidR="00C639EA">
              <w:rPr>
                <w:noProof/>
                <w:webHidden/>
              </w:rPr>
              <w:tab/>
            </w:r>
            <w:r w:rsidR="00C639EA">
              <w:rPr>
                <w:noProof/>
                <w:webHidden/>
              </w:rPr>
              <w:fldChar w:fldCharType="begin"/>
            </w:r>
            <w:r w:rsidR="00C639EA">
              <w:rPr>
                <w:noProof/>
                <w:webHidden/>
              </w:rPr>
              <w:instrText xml:space="preserve"> PAGEREF _Toc83886135 \h </w:instrText>
            </w:r>
            <w:r w:rsidR="00C639EA">
              <w:rPr>
                <w:noProof/>
                <w:webHidden/>
              </w:rPr>
            </w:r>
            <w:r w:rsidR="00C639EA">
              <w:rPr>
                <w:noProof/>
                <w:webHidden/>
              </w:rPr>
              <w:fldChar w:fldCharType="separate"/>
            </w:r>
            <w:r w:rsidR="00103FC3">
              <w:rPr>
                <w:noProof/>
                <w:webHidden/>
              </w:rPr>
              <w:t>34</w:t>
            </w:r>
            <w:r w:rsidR="00C639EA">
              <w:rPr>
                <w:noProof/>
                <w:webHidden/>
              </w:rPr>
              <w:fldChar w:fldCharType="end"/>
            </w:r>
          </w:hyperlink>
        </w:p>
        <w:p w14:paraId="7B35EC4D" w14:textId="2F606B05" w:rsidR="00C639EA" w:rsidRDefault="00626CD5">
          <w:pPr>
            <w:pStyle w:val="TOC2"/>
            <w:rPr>
              <w:rFonts w:asciiTheme="minorHAnsi" w:eastAsiaTheme="minorEastAsia" w:hAnsiTheme="minorHAnsi"/>
              <w:noProof/>
            </w:rPr>
          </w:pPr>
          <w:hyperlink w:anchor="_Toc83886136" w:history="1">
            <w:r w:rsidR="00C639EA" w:rsidRPr="00075A37">
              <w:rPr>
                <w:rStyle w:val="Hyperlink"/>
                <w:noProof/>
                <w14:scene3d>
                  <w14:camera w14:prst="orthographicFront"/>
                  <w14:lightRig w14:rig="threePt" w14:dir="t">
                    <w14:rot w14:lat="0" w14:lon="0" w14:rev="0"/>
                  </w14:lightRig>
                </w14:scene3d>
              </w:rPr>
              <w:t>6.6</w:t>
            </w:r>
            <w:r w:rsidR="00C639EA">
              <w:rPr>
                <w:rFonts w:asciiTheme="minorHAnsi" w:eastAsiaTheme="minorEastAsia" w:hAnsiTheme="minorHAnsi"/>
                <w:noProof/>
              </w:rPr>
              <w:tab/>
            </w:r>
            <w:r w:rsidR="00C639EA" w:rsidRPr="00075A37">
              <w:rPr>
                <w:rStyle w:val="Hyperlink"/>
                <w:noProof/>
              </w:rPr>
              <w:t>Telescope Operations and Maintenance</w:t>
            </w:r>
            <w:r w:rsidR="00C639EA">
              <w:rPr>
                <w:noProof/>
                <w:webHidden/>
              </w:rPr>
              <w:tab/>
            </w:r>
            <w:r w:rsidR="00C639EA">
              <w:rPr>
                <w:noProof/>
                <w:webHidden/>
              </w:rPr>
              <w:fldChar w:fldCharType="begin"/>
            </w:r>
            <w:r w:rsidR="00C639EA">
              <w:rPr>
                <w:noProof/>
                <w:webHidden/>
              </w:rPr>
              <w:instrText xml:space="preserve"> PAGEREF _Toc83886136 \h </w:instrText>
            </w:r>
            <w:r w:rsidR="00C639EA">
              <w:rPr>
                <w:noProof/>
                <w:webHidden/>
              </w:rPr>
            </w:r>
            <w:r w:rsidR="00C639EA">
              <w:rPr>
                <w:noProof/>
                <w:webHidden/>
              </w:rPr>
              <w:fldChar w:fldCharType="separate"/>
            </w:r>
            <w:r w:rsidR="00103FC3">
              <w:rPr>
                <w:noProof/>
                <w:webHidden/>
              </w:rPr>
              <w:t>36</w:t>
            </w:r>
            <w:r w:rsidR="00C639EA">
              <w:rPr>
                <w:noProof/>
                <w:webHidden/>
              </w:rPr>
              <w:fldChar w:fldCharType="end"/>
            </w:r>
          </w:hyperlink>
        </w:p>
        <w:p w14:paraId="5EB73996" w14:textId="2A99758A" w:rsidR="00C639EA" w:rsidRDefault="00626CD5">
          <w:pPr>
            <w:pStyle w:val="TOC2"/>
            <w:rPr>
              <w:rFonts w:asciiTheme="minorHAnsi" w:eastAsiaTheme="minorEastAsia" w:hAnsiTheme="minorHAnsi"/>
              <w:noProof/>
            </w:rPr>
          </w:pPr>
          <w:hyperlink w:anchor="_Toc83886137" w:history="1">
            <w:r w:rsidR="00C639EA" w:rsidRPr="00075A37">
              <w:rPr>
                <w:rStyle w:val="Hyperlink"/>
                <w:noProof/>
                <w14:scene3d>
                  <w14:camera w14:prst="orthographicFront"/>
                  <w14:lightRig w14:rig="threePt" w14:dir="t">
                    <w14:rot w14:lat="0" w14:lon="0" w14:rev="0"/>
                  </w14:lightRig>
                </w14:scene3d>
              </w:rPr>
              <w:t>6.7</w:t>
            </w:r>
            <w:r w:rsidR="00C639EA">
              <w:rPr>
                <w:rFonts w:asciiTheme="minorHAnsi" w:eastAsiaTheme="minorEastAsia" w:hAnsiTheme="minorHAnsi"/>
                <w:noProof/>
              </w:rPr>
              <w:tab/>
            </w:r>
            <w:r w:rsidR="00C639EA" w:rsidRPr="00075A37">
              <w:rPr>
                <w:rStyle w:val="Hyperlink"/>
                <w:noProof/>
              </w:rPr>
              <w:t>Mechanical</w:t>
            </w:r>
            <w:r w:rsidR="00C639EA">
              <w:rPr>
                <w:noProof/>
                <w:webHidden/>
              </w:rPr>
              <w:tab/>
            </w:r>
            <w:r w:rsidR="00C639EA">
              <w:rPr>
                <w:noProof/>
                <w:webHidden/>
              </w:rPr>
              <w:fldChar w:fldCharType="begin"/>
            </w:r>
            <w:r w:rsidR="00C639EA">
              <w:rPr>
                <w:noProof/>
                <w:webHidden/>
              </w:rPr>
              <w:instrText xml:space="preserve"> PAGEREF _Toc83886137 \h </w:instrText>
            </w:r>
            <w:r w:rsidR="00C639EA">
              <w:rPr>
                <w:noProof/>
                <w:webHidden/>
              </w:rPr>
            </w:r>
            <w:r w:rsidR="00C639EA">
              <w:rPr>
                <w:noProof/>
                <w:webHidden/>
              </w:rPr>
              <w:fldChar w:fldCharType="separate"/>
            </w:r>
            <w:r w:rsidR="00103FC3">
              <w:rPr>
                <w:noProof/>
                <w:webHidden/>
              </w:rPr>
              <w:t>37</w:t>
            </w:r>
            <w:r w:rsidR="00C639EA">
              <w:rPr>
                <w:noProof/>
                <w:webHidden/>
              </w:rPr>
              <w:fldChar w:fldCharType="end"/>
            </w:r>
          </w:hyperlink>
        </w:p>
        <w:p w14:paraId="362913D2" w14:textId="7967A8B4" w:rsidR="00C639EA" w:rsidRDefault="00626CD5">
          <w:pPr>
            <w:pStyle w:val="TOC2"/>
            <w:rPr>
              <w:rFonts w:asciiTheme="minorHAnsi" w:eastAsiaTheme="minorEastAsia" w:hAnsiTheme="minorHAnsi"/>
              <w:noProof/>
            </w:rPr>
          </w:pPr>
          <w:hyperlink w:anchor="_Toc83886138" w:history="1">
            <w:r w:rsidR="00C639EA" w:rsidRPr="00075A37">
              <w:rPr>
                <w:rStyle w:val="Hyperlink"/>
                <w:noProof/>
                <w14:scene3d>
                  <w14:camera w14:prst="orthographicFront"/>
                  <w14:lightRig w14:rig="threePt" w14:dir="t">
                    <w14:rot w14:lat="0" w14:lon="0" w14:rev="0"/>
                  </w14:lightRig>
                </w14:scene3d>
              </w:rPr>
              <w:t>6.8</w:t>
            </w:r>
            <w:r w:rsidR="00C639EA">
              <w:rPr>
                <w:rFonts w:asciiTheme="minorHAnsi" w:eastAsiaTheme="minorEastAsia" w:hAnsiTheme="minorHAnsi"/>
                <w:noProof/>
              </w:rPr>
              <w:tab/>
            </w:r>
            <w:r w:rsidR="00C639EA" w:rsidRPr="00075A37">
              <w:rPr>
                <w:rStyle w:val="Hyperlink"/>
                <w:noProof/>
              </w:rPr>
              <w:t>Education and Public Outreach</w:t>
            </w:r>
            <w:r w:rsidR="00C639EA">
              <w:rPr>
                <w:noProof/>
                <w:webHidden/>
              </w:rPr>
              <w:tab/>
            </w:r>
            <w:r w:rsidR="00C639EA">
              <w:rPr>
                <w:noProof/>
                <w:webHidden/>
              </w:rPr>
              <w:fldChar w:fldCharType="begin"/>
            </w:r>
            <w:r w:rsidR="00C639EA">
              <w:rPr>
                <w:noProof/>
                <w:webHidden/>
              </w:rPr>
              <w:instrText xml:space="preserve"> PAGEREF _Toc83886138 \h </w:instrText>
            </w:r>
            <w:r w:rsidR="00C639EA">
              <w:rPr>
                <w:noProof/>
                <w:webHidden/>
              </w:rPr>
            </w:r>
            <w:r w:rsidR="00C639EA">
              <w:rPr>
                <w:noProof/>
                <w:webHidden/>
              </w:rPr>
              <w:fldChar w:fldCharType="separate"/>
            </w:r>
            <w:r w:rsidR="00103FC3">
              <w:rPr>
                <w:noProof/>
                <w:webHidden/>
              </w:rPr>
              <w:t>38</w:t>
            </w:r>
            <w:r w:rsidR="00C639EA">
              <w:rPr>
                <w:noProof/>
                <w:webHidden/>
              </w:rPr>
              <w:fldChar w:fldCharType="end"/>
            </w:r>
          </w:hyperlink>
        </w:p>
        <w:p w14:paraId="60EA4172" w14:textId="17ED62B2" w:rsidR="00C639EA" w:rsidRDefault="00626CD5">
          <w:pPr>
            <w:pStyle w:val="TOC2"/>
            <w:rPr>
              <w:rFonts w:asciiTheme="minorHAnsi" w:eastAsiaTheme="minorEastAsia" w:hAnsiTheme="minorHAnsi"/>
              <w:noProof/>
            </w:rPr>
          </w:pPr>
          <w:hyperlink w:anchor="_Toc83886139" w:history="1">
            <w:r w:rsidR="00C639EA" w:rsidRPr="00075A37">
              <w:rPr>
                <w:rStyle w:val="Hyperlink"/>
                <w:noProof/>
                <w14:scene3d>
                  <w14:camera w14:prst="orthographicFront"/>
                  <w14:lightRig w14:rig="threePt" w14:dir="t">
                    <w14:rot w14:lat="0" w14:lon="0" w14:rev="0"/>
                  </w14:lightRig>
                </w14:scene3d>
              </w:rPr>
              <w:t>6.9</w:t>
            </w:r>
            <w:r w:rsidR="00C639EA">
              <w:rPr>
                <w:rFonts w:asciiTheme="minorHAnsi" w:eastAsiaTheme="minorEastAsia" w:hAnsiTheme="minorHAnsi"/>
                <w:noProof/>
              </w:rPr>
              <w:tab/>
            </w:r>
            <w:r w:rsidR="00C639EA" w:rsidRPr="00075A37">
              <w:rPr>
                <w:rStyle w:val="Hyperlink"/>
                <w:noProof/>
              </w:rPr>
              <w:t>Software Development</w:t>
            </w:r>
            <w:r w:rsidR="00C639EA">
              <w:rPr>
                <w:noProof/>
                <w:webHidden/>
              </w:rPr>
              <w:tab/>
            </w:r>
            <w:r w:rsidR="00C639EA">
              <w:rPr>
                <w:noProof/>
                <w:webHidden/>
              </w:rPr>
              <w:fldChar w:fldCharType="begin"/>
            </w:r>
            <w:r w:rsidR="00C639EA">
              <w:rPr>
                <w:noProof/>
                <w:webHidden/>
              </w:rPr>
              <w:instrText xml:space="preserve"> PAGEREF _Toc83886139 \h </w:instrText>
            </w:r>
            <w:r w:rsidR="00C639EA">
              <w:rPr>
                <w:noProof/>
                <w:webHidden/>
              </w:rPr>
            </w:r>
            <w:r w:rsidR="00C639EA">
              <w:rPr>
                <w:noProof/>
                <w:webHidden/>
              </w:rPr>
              <w:fldChar w:fldCharType="separate"/>
            </w:r>
            <w:r w:rsidR="00103FC3">
              <w:rPr>
                <w:noProof/>
                <w:webHidden/>
              </w:rPr>
              <w:t>38</w:t>
            </w:r>
            <w:r w:rsidR="00C639EA">
              <w:rPr>
                <w:noProof/>
                <w:webHidden/>
              </w:rPr>
              <w:fldChar w:fldCharType="end"/>
            </w:r>
          </w:hyperlink>
        </w:p>
        <w:p w14:paraId="15DD8A4F" w14:textId="7CF0FF7E" w:rsidR="00C639EA" w:rsidRDefault="00626CD5">
          <w:pPr>
            <w:pStyle w:val="TOC2"/>
            <w:rPr>
              <w:rFonts w:asciiTheme="minorHAnsi" w:eastAsiaTheme="minorEastAsia" w:hAnsiTheme="minorHAnsi"/>
              <w:noProof/>
            </w:rPr>
          </w:pPr>
          <w:hyperlink w:anchor="_Toc83886140" w:history="1">
            <w:r w:rsidR="00C639EA" w:rsidRPr="00075A37">
              <w:rPr>
                <w:rStyle w:val="Hyperlink"/>
                <w:noProof/>
                <w14:scene3d>
                  <w14:camera w14:prst="orthographicFront"/>
                  <w14:lightRig w14:rig="threePt" w14:dir="t">
                    <w14:rot w14:lat="0" w14:lon="0" w14:rev="0"/>
                  </w14:lightRig>
                </w14:scene3d>
              </w:rPr>
              <w:t>6.10</w:t>
            </w:r>
            <w:r w:rsidR="00C639EA">
              <w:rPr>
                <w:rFonts w:asciiTheme="minorHAnsi" w:eastAsiaTheme="minorEastAsia" w:hAnsiTheme="minorHAnsi"/>
                <w:noProof/>
              </w:rPr>
              <w:tab/>
            </w:r>
            <w:r w:rsidR="00C639EA" w:rsidRPr="00075A37">
              <w:rPr>
                <w:rStyle w:val="Hyperlink"/>
                <w:noProof/>
              </w:rPr>
              <w:t>Program Management</w:t>
            </w:r>
            <w:r w:rsidR="00C639EA">
              <w:rPr>
                <w:noProof/>
                <w:webHidden/>
              </w:rPr>
              <w:tab/>
            </w:r>
            <w:r w:rsidR="00C639EA">
              <w:rPr>
                <w:noProof/>
                <w:webHidden/>
              </w:rPr>
              <w:fldChar w:fldCharType="begin"/>
            </w:r>
            <w:r w:rsidR="00C639EA">
              <w:rPr>
                <w:noProof/>
                <w:webHidden/>
              </w:rPr>
              <w:instrText xml:space="preserve"> PAGEREF _Toc83886140 \h </w:instrText>
            </w:r>
            <w:r w:rsidR="00C639EA">
              <w:rPr>
                <w:noProof/>
                <w:webHidden/>
              </w:rPr>
            </w:r>
            <w:r w:rsidR="00C639EA">
              <w:rPr>
                <w:noProof/>
                <w:webHidden/>
              </w:rPr>
              <w:fldChar w:fldCharType="separate"/>
            </w:r>
            <w:r w:rsidR="00103FC3">
              <w:rPr>
                <w:noProof/>
                <w:webHidden/>
              </w:rPr>
              <w:t>40</w:t>
            </w:r>
            <w:r w:rsidR="00C639EA">
              <w:rPr>
                <w:noProof/>
                <w:webHidden/>
              </w:rPr>
              <w:fldChar w:fldCharType="end"/>
            </w:r>
          </w:hyperlink>
        </w:p>
        <w:p w14:paraId="6F0FAEA5" w14:textId="760D2EFC" w:rsidR="00C639EA" w:rsidRDefault="00626CD5">
          <w:pPr>
            <w:pStyle w:val="TOC2"/>
            <w:rPr>
              <w:rFonts w:asciiTheme="minorHAnsi" w:eastAsiaTheme="minorEastAsia" w:hAnsiTheme="minorHAnsi"/>
              <w:noProof/>
            </w:rPr>
          </w:pPr>
          <w:hyperlink w:anchor="_Toc83886141" w:history="1">
            <w:r w:rsidR="00C639EA" w:rsidRPr="00075A37">
              <w:rPr>
                <w:rStyle w:val="Hyperlink"/>
                <w:noProof/>
                <w14:scene3d>
                  <w14:camera w14:prst="orthographicFront"/>
                  <w14:lightRig w14:rig="threePt" w14:dir="t">
                    <w14:rot w14:lat="0" w14:lon="0" w14:rev="0"/>
                  </w14:lightRig>
                </w14:scene3d>
              </w:rPr>
              <w:t>6.11</w:t>
            </w:r>
            <w:r w:rsidR="00C639EA">
              <w:rPr>
                <w:rFonts w:asciiTheme="minorHAnsi" w:eastAsiaTheme="minorEastAsia" w:hAnsiTheme="minorHAnsi"/>
                <w:noProof/>
              </w:rPr>
              <w:tab/>
            </w:r>
            <w:r w:rsidR="00C639EA" w:rsidRPr="00075A37">
              <w:rPr>
                <w:rStyle w:val="Hyperlink"/>
                <w:noProof/>
              </w:rPr>
              <w:t>Business</w:t>
            </w:r>
            <w:r w:rsidR="00C639EA">
              <w:rPr>
                <w:noProof/>
                <w:webHidden/>
              </w:rPr>
              <w:tab/>
            </w:r>
            <w:r w:rsidR="00C639EA">
              <w:rPr>
                <w:noProof/>
                <w:webHidden/>
              </w:rPr>
              <w:fldChar w:fldCharType="begin"/>
            </w:r>
            <w:r w:rsidR="00C639EA">
              <w:rPr>
                <w:noProof/>
                <w:webHidden/>
              </w:rPr>
              <w:instrText xml:space="preserve"> PAGEREF _Toc83886141 \h </w:instrText>
            </w:r>
            <w:r w:rsidR="00C639EA">
              <w:rPr>
                <w:noProof/>
                <w:webHidden/>
              </w:rPr>
            </w:r>
            <w:r w:rsidR="00C639EA">
              <w:rPr>
                <w:noProof/>
                <w:webHidden/>
              </w:rPr>
              <w:fldChar w:fldCharType="separate"/>
            </w:r>
            <w:r w:rsidR="00103FC3">
              <w:rPr>
                <w:noProof/>
                <w:webHidden/>
              </w:rPr>
              <w:t>41</w:t>
            </w:r>
            <w:r w:rsidR="00C639EA">
              <w:rPr>
                <w:noProof/>
                <w:webHidden/>
              </w:rPr>
              <w:fldChar w:fldCharType="end"/>
            </w:r>
          </w:hyperlink>
        </w:p>
        <w:p w14:paraId="47ABE7C0" w14:textId="3F1E57A3" w:rsidR="00C639EA" w:rsidRDefault="00626CD5">
          <w:pPr>
            <w:pStyle w:val="TOC2"/>
            <w:rPr>
              <w:rFonts w:asciiTheme="minorHAnsi" w:eastAsiaTheme="minorEastAsia" w:hAnsiTheme="minorHAnsi"/>
              <w:noProof/>
            </w:rPr>
          </w:pPr>
          <w:hyperlink w:anchor="_Toc83886142" w:history="1">
            <w:r w:rsidR="00C639EA" w:rsidRPr="00075A37">
              <w:rPr>
                <w:rStyle w:val="Hyperlink"/>
                <w:noProof/>
                <w14:scene3d>
                  <w14:camera w14:prst="orthographicFront"/>
                  <w14:lightRig w14:rig="threePt" w14:dir="t">
                    <w14:rot w14:lat="0" w14:lon="0" w14:rev="0"/>
                  </w14:lightRig>
                </w14:scene3d>
              </w:rPr>
              <w:t>6.12</w:t>
            </w:r>
            <w:r w:rsidR="00C639EA">
              <w:rPr>
                <w:rFonts w:asciiTheme="minorHAnsi" w:eastAsiaTheme="minorEastAsia" w:hAnsiTheme="minorHAnsi"/>
                <w:noProof/>
              </w:rPr>
              <w:tab/>
            </w:r>
            <w:r w:rsidR="00C639EA" w:rsidRPr="00075A37">
              <w:rPr>
                <w:rStyle w:val="Hyperlink"/>
                <w:noProof/>
              </w:rPr>
              <w:t>Plant Maintenance</w:t>
            </w:r>
            <w:r w:rsidR="00C639EA">
              <w:rPr>
                <w:noProof/>
                <w:webHidden/>
              </w:rPr>
              <w:tab/>
            </w:r>
            <w:r w:rsidR="00C639EA">
              <w:rPr>
                <w:noProof/>
                <w:webHidden/>
              </w:rPr>
              <w:fldChar w:fldCharType="begin"/>
            </w:r>
            <w:r w:rsidR="00C639EA">
              <w:rPr>
                <w:noProof/>
                <w:webHidden/>
              </w:rPr>
              <w:instrText xml:space="preserve"> PAGEREF _Toc83886142 \h </w:instrText>
            </w:r>
            <w:r w:rsidR="00C639EA">
              <w:rPr>
                <w:noProof/>
                <w:webHidden/>
              </w:rPr>
            </w:r>
            <w:r w:rsidR="00C639EA">
              <w:rPr>
                <w:noProof/>
                <w:webHidden/>
              </w:rPr>
              <w:fldChar w:fldCharType="separate"/>
            </w:r>
            <w:r w:rsidR="00103FC3">
              <w:rPr>
                <w:noProof/>
                <w:webHidden/>
              </w:rPr>
              <w:t>43</w:t>
            </w:r>
            <w:r w:rsidR="00C639EA">
              <w:rPr>
                <w:noProof/>
                <w:webHidden/>
              </w:rPr>
              <w:fldChar w:fldCharType="end"/>
            </w:r>
          </w:hyperlink>
        </w:p>
        <w:p w14:paraId="28E69BAD" w14:textId="5EE8FC7B" w:rsidR="00C639EA" w:rsidRDefault="00626CD5">
          <w:pPr>
            <w:pStyle w:val="TOC2"/>
            <w:rPr>
              <w:rFonts w:asciiTheme="minorHAnsi" w:eastAsiaTheme="minorEastAsia" w:hAnsiTheme="minorHAnsi"/>
              <w:noProof/>
            </w:rPr>
          </w:pPr>
          <w:hyperlink w:anchor="_Toc83886143" w:history="1">
            <w:r w:rsidR="00C639EA" w:rsidRPr="00075A37">
              <w:rPr>
                <w:rStyle w:val="Hyperlink"/>
                <w:noProof/>
                <w14:scene3d>
                  <w14:camera w14:prst="orthographicFront"/>
                  <w14:lightRig w14:rig="threePt" w14:dir="t">
                    <w14:rot w14:lat="0" w14:lon="0" w14:rev="0"/>
                  </w14:lightRig>
                </w14:scene3d>
              </w:rPr>
              <w:t>6.13</w:t>
            </w:r>
            <w:r w:rsidR="00C639EA">
              <w:rPr>
                <w:rFonts w:asciiTheme="minorHAnsi" w:eastAsiaTheme="minorEastAsia" w:hAnsiTheme="minorHAnsi"/>
                <w:noProof/>
              </w:rPr>
              <w:tab/>
            </w:r>
            <w:r w:rsidR="00C639EA" w:rsidRPr="00075A37">
              <w:rPr>
                <w:rStyle w:val="Hyperlink"/>
                <w:noProof/>
              </w:rPr>
              <w:t>News and Public Information</w:t>
            </w:r>
            <w:r w:rsidR="00C639EA">
              <w:rPr>
                <w:noProof/>
                <w:webHidden/>
              </w:rPr>
              <w:tab/>
            </w:r>
            <w:r w:rsidR="00C639EA">
              <w:rPr>
                <w:noProof/>
                <w:webHidden/>
              </w:rPr>
              <w:fldChar w:fldCharType="begin"/>
            </w:r>
            <w:r w:rsidR="00C639EA">
              <w:rPr>
                <w:noProof/>
                <w:webHidden/>
              </w:rPr>
              <w:instrText xml:space="preserve"> PAGEREF _Toc83886143 \h </w:instrText>
            </w:r>
            <w:r w:rsidR="00C639EA">
              <w:rPr>
                <w:noProof/>
                <w:webHidden/>
              </w:rPr>
            </w:r>
            <w:r w:rsidR="00C639EA">
              <w:rPr>
                <w:noProof/>
                <w:webHidden/>
              </w:rPr>
              <w:fldChar w:fldCharType="separate"/>
            </w:r>
            <w:r w:rsidR="00103FC3">
              <w:rPr>
                <w:noProof/>
                <w:webHidden/>
              </w:rPr>
              <w:t>45</w:t>
            </w:r>
            <w:r w:rsidR="00C639EA">
              <w:rPr>
                <w:noProof/>
                <w:webHidden/>
              </w:rPr>
              <w:fldChar w:fldCharType="end"/>
            </w:r>
          </w:hyperlink>
        </w:p>
        <w:p w14:paraId="31EEF70B" w14:textId="25CEA2DA" w:rsidR="00C639EA" w:rsidRDefault="00626CD5">
          <w:pPr>
            <w:pStyle w:val="TOC2"/>
            <w:rPr>
              <w:rFonts w:asciiTheme="minorHAnsi" w:eastAsiaTheme="minorEastAsia" w:hAnsiTheme="minorHAnsi"/>
              <w:noProof/>
            </w:rPr>
          </w:pPr>
          <w:hyperlink w:anchor="_Toc83886144" w:history="1">
            <w:r w:rsidR="00C639EA" w:rsidRPr="00075A37">
              <w:rPr>
                <w:rStyle w:val="Hyperlink"/>
                <w:noProof/>
                <w14:scene3d>
                  <w14:camera w14:prst="orthographicFront"/>
                  <w14:lightRig w14:rig="threePt" w14:dir="t">
                    <w14:rot w14:lat="0" w14:lon="0" w14:rev="0"/>
                  </w14:lightRig>
                </w14:scene3d>
              </w:rPr>
              <w:t>6.14</w:t>
            </w:r>
            <w:r w:rsidR="00C639EA">
              <w:rPr>
                <w:rFonts w:asciiTheme="minorHAnsi" w:eastAsiaTheme="minorEastAsia" w:hAnsiTheme="minorHAnsi"/>
                <w:noProof/>
              </w:rPr>
              <w:tab/>
            </w:r>
            <w:r w:rsidR="00C639EA" w:rsidRPr="00075A37">
              <w:rPr>
                <w:rStyle w:val="Hyperlink"/>
                <w:noProof/>
              </w:rPr>
              <w:t>Inter-Observatory Services</w:t>
            </w:r>
            <w:r w:rsidR="00C639EA">
              <w:rPr>
                <w:noProof/>
                <w:webHidden/>
              </w:rPr>
              <w:tab/>
            </w:r>
            <w:r w:rsidR="00C639EA">
              <w:rPr>
                <w:noProof/>
                <w:webHidden/>
              </w:rPr>
              <w:fldChar w:fldCharType="begin"/>
            </w:r>
            <w:r w:rsidR="00C639EA">
              <w:rPr>
                <w:noProof/>
                <w:webHidden/>
              </w:rPr>
              <w:instrText xml:space="preserve"> PAGEREF _Toc83886144 \h </w:instrText>
            </w:r>
            <w:r w:rsidR="00C639EA">
              <w:rPr>
                <w:noProof/>
                <w:webHidden/>
              </w:rPr>
            </w:r>
            <w:r w:rsidR="00C639EA">
              <w:rPr>
                <w:noProof/>
                <w:webHidden/>
              </w:rPr>
              <w:fldChar w:fldCharType="separate"/>
            </w:r>
            <w:r w:rsidR="00103FC3">
              <w:rPr>
                <w:noProof/>
                <w:webHidden/>
              </w:rPr>
              <w:t>46</w:t>
            </w:r>
            <w:r w:rsidR="00C639EA">
              <w:rPr>
                <w:noProof/>
                <w:webHidden/>
              </w:rPr>
              <w:fldChar w:fldCharType="end"/>
            </w:r>
          </w:hyperlink>
        </w:p>
        <w:p w14:paraId="37882781" w14:textId="55C83DFA" w:rsidR="00C639EA" w:rsidRDefault="00626CD5">
          <w:pPr>
            <w:pStyle w:val="TOC1"/>
            <w:rPr>
              <w:rFonts w:asciiTheme="minorHAnsi" w:eastAsiaTheme="minorEastAsia" w:hAnsiTheme="minorHAnsi"/>
              <w:b w:val="0"/>
              <w:noProof/>
              <w:sz w:val="22"/>
            </w:rPr>
          </w:pPr>
          <w:hyperlink w:anchor="_Toc83886145" w:history="1">
            <w:r w:rsidR="00C639EA" w:rsidRPr="00075A37">
              <w:rPr>
                <w:rStyle w:val="Hyperlink"/>
                <w:noProof/>
              </w:rPr>
              <w:t>7</w:t>
            </w:r>
            <w:r w:rsidR="00C639EA">
              <w:rPr>
                <w:rFonts w:asciiTheme="minorHAnsi" w:eastAsiaTheme="minorEastAsia" w:hAnsiTheme="minorHAnsi"/>
                <w:b w:val="0"/>
                <w:noProof/>
                <w:sz w:val="22"/>
              </w:rPr>
              <w:tab/>
            </w:r>
            <w:r w:rsidR="00C639EA" w:rsidRPr="00075A37">
              <w:rPr>
                <w:rStyle w:val="Hyperlink"/>
                <w:noProof/>
              </w:rPr>
              <w:t>WORKFORCE MANAGEMENT</w:t>
            </w:r>
            <w:r w:rsidR="00C639EA">
              <w:rPr>
                <w:noProof/>
                <w:webHidden/>
              </w:rPr>
              <w:tab/>
            </w:r>
            <w:r w:rsidR="00C639EA">
              <w:rPr>
                <w:noProof/>
                <w:webHidden/>
              </w:rPr>
              <w:fldChar w:fldCharType="begin"/>
            </w:r>
            <w:r w:rsidR="00C639EA">
              <w:rPr>
                <w:noProof/>
                <w:webHidden/>
              </w:rPr>
              <w:instrText xml:space="preserve"> PAGEREF _Toc83886145 \h </w:instrText>
            </w:r>
            <w:r w:rsidR="00C639EA">
              <w:rPr>
                <w:noProof/>
                <w:webHidden/>
              </w:rPr>
            </w:r>
            <w:r w:rsidR="00C639EA">
              <w:rPr>
                <w:noProof/>
                <w:webHidden/>
              </w:rPr>
              <w:fldChar w:fldCharType="separate"/>
            </w:r>
            <w:r w:rsidR="00103FC3">
              <w:rPr>
                <w:noProof/>
                <w:webHidden/>
              </w:rPr>
              <w:t>48</w:t>
            </w:r>
            <w:r w:rsidR="00C639EA">
              <w:rPr>
                <w:noProof/>
                <w:webHidden/>
              </w:rPr>
              <w:fldChar w:fldCharType="end"/>
            </w:r>
          </w:hyperlink>
        </w:p>
        <w:p w14:paraId="7D6056C7" w14:textId="28545CA3" w:rsidR="00C639EA" w:rsidRDefault="00626CD5">
          <w:pPr>
            <w:pStyle w:val="TOC2"/>
            <w:rPr>
              <w:rFonts w:asciiTheme="minorHAnsi" w:eastAsiaTheme="minorEastAsia" w:hAnsiTheme="minorHAnsi"/>
              <w:noProof/>
            </w:rPr>
          </w:pPr>
          <w:hyperlink w:anchor="_Toc83886146" w:history="1">
            <w:r w:rsidR="00C639EA" w:rsidRPr="00075A37">
              <w:rPr>
                <w:rStyle w:val="Hyperlink"/>
                <w:noProof/>
                <w14:scene3d>
                  <w14:camera w14:prst="orthographicFront"/>
                  <w14:lightRig w14:rig="threePt" w14:dir="t">
                    <w14:rot w14:lat="0" w14:lon="0" w14:rev="0"/>
                  </w14:lightRig>
                </w14:scene3d>
              </w:rPr>
              <w:t>7.1</w:t>
            </w:r>
            <w:r w:rsidR="00C639EA">
              <w:rPr>
                <w:rFonts w:asciiTheme="minorHAnsi" w:eastAsiaTheme="minorEastAsia" w:hAnsiTheme="minorHAnsi"/>
                <w:noProof/>
              </w:rPr>
              <w:tab/>
            </w:r>
            <w:r w:rsidR="00C639EA" w:rsidRPr="00075A37">
              <w:rPr>
                <w:rStyle w:val="Hyperlink"/>
                <w:noProof/>
              </w:rPr>
              <w:t>Training and Development</w:t>
            </w:r>
            <w:r w:rsidR="00C639EA">
              <w:rPr>
                <w:noProof/>
                <w:webHidden/>
              </w:rPr>
              <w:tab/>
            </w:r>
            <w:r w:rsidR="00C639EA">
              <w:rPr>
                <w:noProof/>
                <w:webHidden/>
              </w:rPr>
              <w:fldChar w:fldCharType="begin"/>
            </w:r>
            <w:r w:rsidR="00C639EA">
              <w:rPr>
                <w:noProof/>
                <w:webHidden/>
              </w:rPr>
              <w:instrText xml:space="preserve"> PAGEREF _Toc83886146 \h </w:instrText>
            </w:r>
            <w:r w:rsidR="00C639EA">
              <w:rPr>
                <w:noProof/>
                <w:webHidden/>
              </w:rPr>
            </w:r>
            <w:r w:rsidR="00C639EA">
              <w:rPr>
                <w:noProof/>
                <w:webHidden/>
              </w:rPr>
              <w:fldChar w:fldCharType="separate"/>
            </w:r>
            <w:r w:rsidR="00103FC3">
              <w:rPr>
                <w:noProof/>
                <w:webHidden/>
              </w:rPr>
              <w:t>48</w:t>
            </w:r>
            <w:r w:rsidR="00C639EA">
              <w:rPr>
                <w:noProof/>
                <w:webHidden/>
              </w:rPr>
              <w:fldChar w:fldCharType="end"/>
            </w:r>
          </w:hyperlink>
        </w:p>
        <w:p w14:paraId="73EE051A" w14:textId="150A003F" w:rsidR="00C639EA" w:rsidRDefault="00626CD5">
          <w:pPr>
            <w:pStyle w:val="TOC2"/>
            <w:rPr>
              <w:rFonts w:asciiTheme="minorHAnsi" w:eastAsiaTheme="minorEastAsia" w:hAnsiTheme="minorHAnsi"/>
              <w:noProof/>
            </w:rPr>
          </w:pPr>
          <w:hyperlink w:anchor="_Toc83886147" w:history="1">
            <w:r w:rsidR="00C639EA" w:rsidRPr="00075A37">
              <w:rPr>
                <w:rStyle w:val="Hyperlink"/>
                <w:noProof/>
                <w14:scene3d>
                  <w14:camera w14:prst="orthographicFront"/>
                  <w14:lightRig w14:rig="threePt" w14:dir="t">
                    <w14:rot w14:lat="0" w14:lon="0" w14:rev="0"/>
                  </w14:lightRig>
                </w14:scene3d>
              </w:rPr>
              <w:t>7.2</w:t>
            </w:r>
            <w:r w:rsidR="00C639EA">
              <w:rPr>
                <w:rFonts w:asciiTheme="minorHAnsi" w:eastAsiaTheme="minorEastAsia" w:hAnsiTheme="minorHAnsi"/>
                <w:noProof/>
              </w:rPr>
              <w:tab/>
            </w:r>
            <w:r w:rsidR="00C639EA" w:rsidRPr="00075A37">
              <w:rPr>
                <w:rStyle w:val="Hyperlink"/>
                <w:noProof/>
              </w:rPr>
              <w:t>Compensation</w:t>
            </w:r>
            <w:r w:rsidR="00C639EA">
              <w:rPr>
                <w:noProof/>
                <w:webHidden/>
              </w:rPr>
              <w:tab/>
            </w:r>
            <w:r w:rsidR="00C639EA">
              <w:rPr>
                <w:noProof/>
                <w:webHidden/>
              </w:rPr>
              <w:fldChar w:fldCharType="begin"/>
            </w:r>
            <w:r w:rsidR="00C639EA">
              <w:rPr>
                <w:noProof/>
                <w:webHidden/>
              </w:rPr>
              <w:instrText xml:space="preserve"> PAGEREF _Toc83886147 \h </w:instrText>
            </w:r>
            <w:r w:rsidR="00C639EA">
              <w:rPr>
                <w:noProof/>
                <w:webHidden/>
              </w:rPr>
            </w:r>
            <w:r w:rsidR="00C639EA">
              <w:rPr>
                <w:noProof/>
                <w:webHidden/>
              </w:rPr>
              <w:fldChar w:fldCharType="separate"/>
            </w:r>
            <w:r w:rsidR="00103FC3">
              <w:rPr>
                <w:noProof/>
                <w:webHidden/>
              </w:rPr>
              <w:t>49</w:t>
            </w:r>
            <w:r w:rsidR="00C639EA">
              <w:rPr>
                <w:noProof/>
                <w:webHidden/>
              </w:rPr>
              <w:fldChar w:fldCharType="end"/>
            </w:r>
          </w:hyperlink>
        </w:p>
        <w:p w14:paraId="0D46BD8B" w14:textId="2274942A" w:rsidR="00C639EA" w:rsidRDefault="00626CD5">
          <w:pPr>
            <w:pStyle w:val="TOC2"/>
            <w:rPr>
              <w:rFonts w:asciiTheme="minorHAnsi" w:eastAsiaTheme="minorEastAsia" w:hAnsiTheme="minorHAnsi"/>
              <w:noProof/>
            </w:rPr>
          </w:pPr>
          <w:hyperlink w:anchor="_Toc83886148" w:history="1">
            <w:r w:rsidR="00C639EA" w:rsidRPr="00075A37">
              <w:rPr>
                <w:rStyle w:val="Hyperlink"/>
                <w:noProof/>
                <w14:scene3d>
                  <w14:camera w14:prst="orthographicFront"/>
                  <w14:lightRig w14:rig="threePt" w14:dir="t">
                    <w14:rot w14:lat="0" w14:lon="0" w14:rev="0"/>
                  </w14:lightRig>
                </w14:scene3d>
              </w:rPr>
              <w:t>7.3</w:t>
            </w:r>
            <w:r w:rsidR="00C639EA">
              <w:rPr>
                <w:rFonts w:asciiTheme="minorHAnsi" w:eastAsiaTheme="minorEastAsia" w:hAnsiTheme="minorHAnsi"/>
                <w:noProof/>
              </w:rPr>
              <w:tab/>
            </w:r>
            <w:r w:rsidR="00C639EA" w:rsidRPr="00075A37">
              <w:rPr>
                <w:rStyle w:val="Hyperlink"/>
                <w:noProof/>
              </w:rPr>
              <w:t>Benefits</w:t>
            </w:r>
            <w:r w:rsidR="00C639EA">
              <w:rPr>
                <w:noProof/>
                <w:webHidden/>
              </w:rPr>
              <w:tab/>
            </w:r>
            <w:r w:rsidR="00C639EA">
              <w:rPr>
                <w:noProof/>
                <w:webHidden/>
              </w:rPr>
              <w:fldChar w:fldCharType="begin"/>
            </w:r>
            <w:r w:rsidR="00C639EA">
              <w:rPr>
                <w:noProof/>
                <w:webHidden/>
              </w:rPr>
              <w:instrText xml:space="preserve"> PAGEREF _Toc83886148 \h </w:instrText>
            </w:r>
            <w:r w:rsidR="00C639EA">
              <w:rPr>
                <w:noProof/>
                <w:webHidden/>
              </w:rPr>
            </w:r>
            <w:r w:rsidR="00C639EA">
              <w:rPr>
                <w:noProof/>
                <w:webHidden/>
              </w:rPr>
              <w:fldChar w:fldCharType="separate"/>
            </w:r>
            <w:r w:rsidR="00103FC3">
              <w:rPr>
                <w:noProof/>
                <w:webHidden/>
              </w:rPr>
              <w:t>49</w:t>
            </w:r>
            <w:r w:rsidR="00C639EA">
              <w:rPr>
                <w:noProof/>
                <w:webHidden/>
              </w:rPr>
              <w:fldChar w:fldCharType="end"/>
            </w:r>
          </w:hyperlink>
        </w:p>
        <w:p w14:paraId="6DE24427" w14:textId="52D0BB72" w:rsidR="00C639EA" w:rsidRDefault="00626CD5">
          <w:pPr>
            <w:pStyle w:val="TOC2"/>
            <w:rPr>
              <w:rFonts w:asciiTheme="minorHAnsi" w:eastAsiaTheme="minorEastAsia" w:hAnsiTheme="minorHAnsi"/>
              <w:noProof/>
            </w:rPr>
          </w:pPr>
          <w:hyperlink w:anchor="_Toc83886149" w:history="1">
            <w:r w:rsidR="00C639EA" w:rsidRPr="00075A37">
              <w:rPr>
                <w:rStyle w:val="Hyperlink"/>
                <w:noProof/>
                <w14:scene3d>
                  <w14:camera w14:prst="orthographicFront"/>
                  <w14:lightRig w14:rig="threePt" w14:dir="t">
                    <w14:rot w14:lat="0" w14:lon="0" w14:rev="0"/>
                  </w14:lightRig>
                </w14:scene3d>
              </w:rPr>
              <w:t>7.4</w:t>
            </w:r>
            <w:r w:rsidR="00C639EA">
              <w:rPr>
                <w:rFonts w:asciiTheme="minorHAnsi" w:eastAsiaTheme="minorEastAsia" w:hAnsiTheme="minorHAnsi"/>
                <w:noProof/>
              </w:rPr>
              <w:tab/>
            </w:r>
            <w:r w:rsidR="00C639EA" w:rsidRPr="00075A37">
              <w:rPr>
                <w:rStyle w:val="Hyperlink"/>
                <w:noProof/>
              </w:rPr>
              <w:t>Recruitment/Employment</w:t>
            </w:r>
            <w:r w:rsidR="00C639EA">
              <w:rPr>
                <w:noProof/>
                <w:webHidden/>
              </w:rPr>
              <w:tab/>
            </w:r>
            <w:r w:rsidR="00C639EA">
              <w:rPr>
                <w:noProof/>
                <w:webHidden/>
              </w:rPr>
              <w:fldChar w:fldCharType="begin"/>
            </w:r>
            <w:r w:rsidR="00C639EA">
              <w:rPr>
                <w:noProof/>
                <w:webHidden/>
              </w:rPr>
              <w:instrText xml:space="preserve"> PAGEREF _Toc83886149 \h </w:instrText>
            </w:r>
            <w:r w:rsidR="00C639EA">
              <w:rPr>
                <w:noProof/>
                <w:webHidden/>
              </w:rPr>
            </w:r>
            <w:r w:rsidR="00C639EA">
              <w:rPr>
                <w:noProof/>
                <w:webHidden/>
              </w:rPr>
              <w:fldChar w:fldCharType="separate"/>
            </w:r>
            <w:r w:rsidR="00103FC3">
              <w:rPr>
                <w:noProof/>
                <w:webHidden/>
              </w:rPr>
              <w:t>49</w:t>
            </w:r>
            <w:r w:rsidR="00C639EA">
              <w:rPr>
                <w:noProof/>
                <w:webHidden/>
              </w:rPr>
              <w:fldChar w:fldCharType="end"/>
            </w:r>
          </w:hyperlink>
        </w:p>
        <w:p w14:paraId="1C5D7106" w14:textId="09C447E9" w:rsidR="00C639EA" w:rsidRDefault="00626CD5">
          <w:pPr>
            <w:pStyle w:val="TOC1"/>
            <w:rPr>
              <w:rFonts w:asciiTheme="minorHAnsi" w:eastAsiaTheme="minorEastAsia" w:hAnsiTheme="minorHAnsi"/>
              <w:b w:val="0"/>
              <w:noProof/>
              <w:sz w:val="22"/>
            </w:rPr>
          </w:pPr>
          <w:hyperlink w:anchor="_Toc83886150" w:history="1">
            <w:r w:rsidR="00C639EA" w:rsidRPr="00075A37">
              <w:rPr>
                <w:rStyle w:val="Hyperlink"/>
                <w:noProof/>
              </w:rPr>
              <w:t>8</w:t>
            </w:r>
            <w:r w:rsidR="00C639EA">
              <w:rPr>
                <w:rFonts w:asciiTheme="minorHAnsi" w:eastAsiaTheme="minorEastAsia" w:hAnsiTheme="minorHAnsi"/>
                <w:b w:val="0"/>
                <w:noProof/>
                <w:sz w:val="22"/>
              </w:rPr>
              <w:tab/>
            </w:r>
            <w:r w:rsidR="00C639EA" w:rsidRPr="00075A37">
              <w:rPr>
                <w:rStyle w:val="Hyperlink"/>
                <w:noProof/>
              </w:rPr>
              <w:t>MAINTENANCE AND INFRASTRUCTURE</w:t>
            </w:r>
            <w:r w:rsidR="00C639EA">
              <w:rPr>
                <w:noProof/>
                <w:webHidden/>
              </w:rPr>
              <w:tab/>
            </w:r>
            <w:r w:rsidR="00C639EA">
              <w:rPr>
                <w:noProof/>
                <w:webHidden/>
              </w:rPr>
              <w:fldChar w:fldCharType="begin"/>
            </w:r>
            <w:r w:rsidR="00C639EA">
              <w:rPr>
                <w:noProof/>
                <w:webHidden/>
              </w:rPr>
              <w:instrText xml:space="preserve"> PAGEREF _Toc83886150 \h </w:instrText>
            </w:r>
            <w:r w:rsidR="00C639EA">
              <w:rPr>
                <w:noProof/>
                <w:webHidden/>
              </w:rPr>
            </w:r>
            <w:r w:rsidR="00C639EA">
              <w:rPr>
                <w:noProof/>
                <w:webHidden/>
              </w:rPr>
              <w:fldChar w:fldCharType="separate"/>
            </w:r>
            <w:r w:rsidR="00103FC3">
              <w:rPr>
                <w:noProof/>
                <w:webHidden/>
              </w:rPr>
              <w:t>50</w:t>
            </w:r>
            <w:r w:rsidR="00C639EA">
              <w:rPr>
                <w:noProof/>
                <w:webHidden/>
              </w:rPr>
              <w:fldChar w:fldCharType="end"/>
            </w:r>
          </w:hyperlink>
        </w:p>
        <w:p w14:paraId="47C5B98A" w14:textId="1BF93DAD" w:rsidR="00C639EA" w:rsidRDefault="00626CD5">
          <w:pPr>
            <w:pStyle w:val="TOC2"/>
            <w:rPr>
              <w:rFonts w:asciiTheme="minorHAnsi" w:eastAsiaTheme="minorEastAsia" w:hAnsiTheme="minorHAnsi"/>
              <w:noProof/>
            </w:rPr>
          </w:pPr>
          <w:hyperlink w:anchor="_Toc83886151" w:history="1">
            <w:r w:rsidR="00C639EA" w:rsidRPr="00075A37">
              <w:rPr>
                <w:rStyle w:val="Hyperlink"/>
                <w:noProof/>
                <w14:scene3d>
                  <w14:camera w14:prst="orthographicFront"/>
                  <w14:lightRig w14:rig="threePt" w14:dir="t">
                    <w14:rot w14:lat="0" w14:lon="0" w14:rev="0"/>
                  </w14:lightRig>
                </w14:scene3d>
              </w:rPr>
              <w:t>8.1</w:t>
            </w:r>
            <w:r w:rsidR="00C639EA">
              <w:rPr>
                <w:rFonts w:asciiTheme="minorHAnsi" w:eastAsiaTheme="minorEastAsia" w:hAnsiTheme="minorHAnsi"/>
                <w:noProof/>
              </w:rPr>
              <w:tab/>
            </w:r>
            <w:r w:rsidR="00C639EA" w:rsidRPr="00075A37">
              <w:rPr>
                <w:rStyle w:val="Hyperlink"/>
                <w:noProof/>
              </w:rPr>
              <w:t>The GBT - Structure</w:t>
            </w:r>
            <w:r w:rsidR="00C639EA">
              <w:rPr>
                <w:noProof/>
                <w:webHidden/>
              </w:rPr>
              <w:tab/>
            </w:r>
            <w:r w:rsidR="00C639EA">
              <w:rPr>
                <w:noProof/>
                <w:webHidden/>
              </w:rPr>
              <w:fldChar w:fldCharType="begin"/>
            </w:r>
            <w:r w:rsidR="00C639EA">
              <w:rPr>
                <w:noProof/>
                <w:webHidden/>
              </w:rPr>
              <w:instrText xml:space="preserve"> PAGEREF _Toc83886151 \h </w:instrText>
            </w:r>
            <w:r w:rsidR="00C639EA">
              <w:rPr>
                <w:noProof/>
                <w:webHidden/>
              </w:rPr>
            </w:r>
            <w:r w:rsidR="00C639EA">
              <w:rPr>
                <w:noProof/>
                <w:webHidden/>
              </w:rPr>
              <w:fldChar w:fldCharType="separate"/>
            </w:r>
            <w:r w:rsidR="00103FC3">
              <w:rPr>
                <w:noProof/>
                <w:webHidden/>
              </w:rPr>
              <w:t>50</w:t>
            </w:r>
            <w:r w:rsidR="00C639EA">
              <w:rPr>
                <w:noProof/>
                <w:webHidden/>
              </w:rPr>
              <w:fldChar w:fldCharType="end"/>
            </w:r>
          </w:hyperlink>
        </w:p>
        <w:p w14:paraId="076BAC1E" w14:textId="2EC0D0A8" w:rsidR="00C639EA" w:rsidRDefault="00626CD5">
          <w:pPr>
            <w:pStyle w:val="TOC2"/>
            <w:rPr>
              <w:rFonts w:asciiTheme="minorHAnsi" w:eastAsiaTheme="minorEastAsia" w:hAnsiTheme="minorHAnsi"/>
              <w:noProof/>
            </w:rPr>
          </w:pPr>
          <w:hyperlink w:anchor="_Toc83886152" w:history="1">
            <w:r w:rsidR="00C639EA" w:rsidRPr="00075A37">
              <w:rPr>
                <w:rStyle w:val="Hyperlink"/>
                <w:noProof/>
                <w14:scene3d>
                  <w14:camera w14:prst="orthographicFront"/>
                  <w14:lightRig w14:rig="threePt" w14:dir="t">
                    <w14:rot w14:lat="0" w14:lon="0" w14:rev="0"/>
                  </w14:lightRig>
                </w14:scene3d>
              </w:rPr>
              <w:t>8.2</w:t>
            </w:r>
            <w:r w:rsidR="00C639EA">
              <w:rPr>
                <w:rFonts w:asciiTheme="minorHAnsi" w:eastAsiaTheme="minorEastAsia" w:hAnsiTheme="minorHAnsi"/>
                <w:noProof/>
              </w:rPr>
              <w:tab/>
            </w:r>
            <w:r w:rsidR="00C639EA" w:rsidRPr="00075A37">
              <w:rPr>
                <w:rStyle w:val="Hyperlink"/>
                <w:noProof/>
              </w:rPr>
              <w:t>The GBT – Receivers</w:t>
            </w:r>
            <w:r w:rsidR="00C639EA">
              <w:rPr>
                <w:noProof/>
                <w:webHidden/>
              </w:rPr>
              <w:tab/>
            </w:r>
            <w:r w:rsidR="00C639EA">
              <w:rPr>
                <w:noProof/>
                <w:webHidden/>
              </w:rPr>
              <w:fldChar w:fldCharType="begin"/>
            </w:r>
            <w:r w:rsidR="00C639EA">
              <w:rPr>
                <w:noProof/>
                <w:webHidden/>
              </w:rPr>
              <w:instrText xml:space="preserve"> PAGEREF _Toc83886152 \h </w:instrText>
            </w:r>
            <w:r w:rsidR="00C639EA">
              <w:rPr>
                <w:noProof/>
                <w:webHidden/>
              </w:rPr>
            </w:r>
            <w:r w:rsidR="00C639EA">
              <w:rPr>
                <w:noProof/>
                <w:webHidden/>
              </w:rPr>
              <w:fldChar w:fldCharType="separate"/>
            </w:r>
            <w:r w:rsidR="00103FC3">
              <w:rPr>
                <w:noProof/>
                <w:webHidden/>
              </w:rPr>
              <w:t>53</w:t>
            </w:r>
            <w:r w:rsidR="00C639EA">
              <w:rPr>
                <w:noProof/>
                <w:webHidden/>
              </w:rPr>
              <w:fldChar w:fldCharType="end"/>
            </w:r>
          </w:hyperlink>
        </w:p>
        <w:p w14:paraId="48B6AB3A" w14:textId="56F632CF" w:rsidR="00C639EA" w:rsidRDefault="00626CD5">
          <w:pPr>
            <w:pStyle w:val="TOC2"/>
            <w:rPr>
              <w:rFonts w:asciiTheme="minorHAnsi" w:eastAsiaTheme="minorEastAsia" w:hAnsiTheme="minorHAnsi"/>
              <w:noProof/>
            </w:rPr>
          </w:pPr>
          <w:hyperlink w:anchor="_Toc83886153" w:history="1">
            <w:r w:rsidR="00C639EA" w:rsidRPr="00075A37">
              <w:rPr>
                <w:rStyle w:val="Hyperlink"/>
                <w:noProof/>
                <w14:scene3d>
                  <w14:camera w14:prst="orthographicFront"/>
                  <w14:lightRig w14:rig="threePt" w14:dir="t">
                    <w14:rot w14:lat="0" w14:lon="0" w14:rev="0"/>
                  </w14:lightRig>
                </w14:scene3d>
              </w:rPr>
              <w:t>8.3</w:t>
            </w:r>
            <w:r w:rsidR="00C639EA">
              <w:rPr>
                <w:rFonts w:asciiTheme="minorHAnsi" w:eastAsiaTheme="minorEastAsia" w:hAnsiTheme="minorHAnsi"/>
                <w:noProof/>
              </w:rPr>
              <w:tab/>
            </w:r>
            <w:r w:rsidR="00C639EA" w:rsidRPr="00075A37">
              <w:rPr>
                <w:rStyle w:val="Hyperlink"/>
                <w:noProof/>
              </w:rPr>
              <w:t>The GBT – Software Infrastructure</w:t>
            </w:r>
            <w:r w:rsidR="00C639EA">
              <w:rPr>
                <w:noProof/>
                <w:webHidden/>
              </w:rPr>
              <w:tab/>
            </w:r>
            <w:r w:rsidR="00C639EA">
              <w:rPr>
                <w:noProof/>
                <w:webHidden/>
              </w:rPr>
              <w:fldChar w:fldCharType="begin"/>
            </w:r>
            <w:r w:rsidR="00C639EA">
              <w:rPr>
                <w:noProof/>
                <w:webHidden/>
              </w:rPr>
              <w:instrText xml:space="preserve"> PAGEREF _Toc83886153 \h </w:instrText>
            </w:r>
            <w:r w:rsidR="00C639EA">
              <w:rPr>
                <w:noProof/>
                <w:webHidden/>
              </w:rPr>
            </w:r>
            <w:r w:rsidR="00C639EA">
              <w:rPr>
                <w:noProof/>
                <w:webHidden/>
              </w:rPr>
              <w:fldChar w:fldCharType="separate"/>
            </w:r>
            <w:r w:rsidR="00103FC3">
              <w:rPr>
                <w:noProof/>
                <w:webHidden/>
              </w:rPr>
              <w:t>53</w:t>
            </w:r>
            <w:r w:rsidR="00C639EA">
              <w:rPr>
                <w:noProof/>
                <w:webHidden/>
              </w:rPr>
              <w:fldChar w:fldCharType="end"/>
            </w:r>
          </w:hyperlink>
        </w:p>
        <w:p w14:paraId="22D3AFFB" w14:textId="58D06DF4" w:rsidR="00C639EA" w:rsidRDefault="00626CD5">
          <w:pPr>
            <w:pStyle w:val="TOC2"/>
            <w:rPr>
              <w:rFonts w:asciiTheme="minorHAnsi" w:eastAsiaTheme="minorEastAsia" w:hAnsiTheme="minorHAnsi"/>
              <w:noProof/>
            </w:rPr>
          </w:pPr>
          <w:hyperlink w:anchor="_Toc83886154" w:history="1">
            <w:r w:rsidR="00C639EA" w:rsidRPr="00075A37">
              <w:rPr>
                <w:rStyle w:val="Hyperlink"/>
                <w:noProof/>
                <w14:scene3d>
                  <w14:camera w14:prst="orthographicFront"/>
                  <w14:lightRig w14:rig="threePt" w14:dir="t">
                    <w14:rot w14:lat="0" w14:lon="0" w14:rev="0"/>
                  </w14:lightRig>
                </w14:scene3d>
              </w:rPr>
              <w:t>8.4</w:t>
            </w:r>
            <w:r w:rsidR="00C639EA">
              <w:rPr>
                <w:rFonts w:asciiTheme="minorHAnsi" w:eastAsiaTheme="minorEastAsia" w:hAnsiTheme="minorHAnsi"/>
                <w:noProof/>
              </w:rPr>
              <w:tab/>
            </w:r>
            <w:r w:rsidR="00C639EA" w:rsidRPr="00075A37">
              <w:rPr>
                <w:rStyle w:val="Hyperlink"/>
                <w:noProof/>
              </w:rPr>
              <w:t>The GBT – User Facing Tools</w:t>
            </w:r>
            <w:r w:rsidR="00C639EA">
              <w:rPr>
                <w:noProof/>
                <w:webHidden/>
              </w:rPr>
              <w:tab/>
            </w:r>
            <w:r w:rsidR="00C639EA">
              <w:rPr>
                <w:noProof/>
                <w:webHidden/>
              </w:rPr>
              <w:fldChar w:fldCharType="begin"/>
            </w:r>
            <w:r w:rsidR="00C639EA">
              <w:rPr>
                <w:noProof/>
                <w:webHidden/>
              </w:rPr>
              <w:instrText xml:space="preserve"> PAGEREF _Toc83886154 \h </w:instrText>
            </w:r>
            <w:r w:rsidR="00C639EA">
              <w:rPr>
                <w:noProof/>
                <w:webHidden/>
              </w:rPr>
            </w:r>
            <w:r w:rsidR="00C639EA">
              <w:rPr>
                <w:noProof/>
                <w:webHidden/>
              </w:rPr>
              <w:fldChar w:fldCharType="separate"/>
            </w:r>
            <w:r w:rsidR="00103FC3">
              <w:rPr>
                <w:noProof/>
                <w:webHidden/>
              </w:rPr>
              <w:t>54</w:t>
            </w:r>
            <w:r w:rsidR="00C639EA">
              <w:rPr>
                <w:noProof/>
                <w:webHidden/>
              </w:rPr>
              <w:fldChar w:fldCharType="end"/>
            </w:r>
          </w:hyperlink>
        </w:p>
        <w:p w14:paraId="2E12F6D8" w14:textId="43A4F80F" w:rsidR="00C639EA" w:rsidRDefault="00626CD5">
          <w:pPr>
            <w:pStyle w:val="TOC2"/>
            <w:rPr>
              <w:rFonts w:asciiTheme="minorHAnsi" w:eastAsiaTheme="minorEastAsia" w:hAnsiTheme="minorHAnsi"/>
              <w:noProof/>
            </w:rPr>
          </w:pPr>
          <w:hyperlink w:anchor="_Toc83886155" w:history="1">
            <w:r w:rsidR="00C639EA" w:rsidRPr="00075A37">
              <w:rPr>
                <w:rStyle w:val="Hyperlink"/>
                <w:noProof/>
                <w14:scene3d>
                  <w14:camera w14:prst="orthographicFront"/>
                  <w14:lightRig w14:rig="threePt" w14:dir="t">
                    <w14:rot w14:lat="0" w14:lon="0" w14:rev="0"/>
                  </w14:lightRig>
                </w14:scene3d>
              </w:rPr>
              <w:t>8.5</w:t>
            </w:r>
            <w:r w:rsidR="00C639EA">
              <w:rPr>
                <w:rFonts w:asciiTheme="minorHAnsi" w:eastAsiaTheme="minorEastAsia" w:hAnsiTheme="minorHAnsi"/>
                <w:noProof/>
              </w:rPr>
              <w:tab/>
            </w:r>
            <w:r w:rsidR="00C639EA" w:rsidRPr="00075A37">
              <w:rPr>
                <w:rStyle w:val="Hyperlink"/>
                <w:noProof/>
              </w:rPr>
              <w:t>The GBT – Documentation</w:t>
            </w:r>
            <w:r w:rsidR="00C639EA">
              <w:rPr>
                <w:noProof/>
                <w:webHidden/>
              </w:rPr>
              <w:tab/>
            </w:r>
            <w:r w:rsidR="00C639EA">
              <w:rPr>
                <w:noProof/>
                <w:webHidden/>
              </w:rPr>
              <w:fldChar w:fldCharType="begin"/>
            </w:r>
            <w:r w:rsidR="00C639EA">
              <w:rPr>
                <w:noProof/>
                <w:webHidden/>
              </w:rPr>
              <w:instrText xml:space="preserve"> PAGEREF _Toc83886155 \h </w:instrText>
            </w:r>
            <w:r w:rsidR="00C639EA">
              <w:rPr>
                <w:noProof/>
                <w:webHidden/>
              </w:rPr>
            </w:r>
            <w:r w:rsidR="00C639EA">
              <w:rPr>
                <w:noProof/>
                <w:webHidden/>
              </w:rPr>
              <w:fldChar w:fldCharType="separate"/>
            </w:r>
            <w:r w:rsidR="00103FC3">
              <w:rPr>
                <w:noProof/>
                <w:webHidden/>
              </w:rPr>
              <w:t>55</w:t>
            </w:r>
            <w:r w:rsidR="00C639EA">
              <w:rPr>
                <w:noProof/>
                <w:webHidden/>
              </w:rPr>
              <w:fldChar w:fldCharType="end"/>
            </w:r>
          </w:hyperlink>
        </w:p>
        <w:p w14:paraId="28947AF6" w14:textId="1CDD3613" w:rsidR="00C639EA" w:rsidRDefault="00626CD5">
          <w:pPr>
            <w:pStyle w:val="TOC2"/>
            <w:rPr>
              <w:rFonts w:asciiTheme="minorHAnsi" w:eastAsiaTheme="minorEastAsia" w:hAnsiTheme="minorHAnsi"/>
              <w:noProof/>
            </w:rPr>
          </w:pPr>
          <w:hyperlink w:anchor="_Toc83886156" w:history="1">
            <w:r w:rsidR="00C639EA" w:rsidRPr="00075A37">
              <w:rPr>
                <w:rStyle w:val="Hyperlink"/>
                <w:noProof/>
                <w14:scene3d>
                  <w14:camera w14:prst="orthographicFront"/>
                  <w14:lightRig w14:rig="threePt" w14:dir="t">
                    <w14:rot w14:lat="0" w14:lon="0" w14:rev="0"/>
                  </w14:lightRig>
                </w14:scene3d>
              </w:rPr>
              <w:t>8.6</w:t>
            </w:r>
            <w:r w:rsidR="00C639EA">
              <w:rPr>
                <w:rFonts w:asciiTheme="minorHAnsi" w:eastAsiaTheme="minorEastAsia" w:hAnsiTheme="minorHAnsi"/>
                <w:noProof/>
              </w:rPr>
              <w:tab/>
            </w:r>
            <w:r w:rsidR="00C639EA" w:rsidRPr="00075A37">
              <w:rPr>
                <w:rStyle w:val="Hyperlink"/>
                <w:noProof/>
              </w:rPr>
              <w:t>The GBT - Other</w:t>
            </w:r>
            <w:r w:rsidR="00C639EA">
              <w:rPr>
                <w:noProof/>
                <w:webHidden/>
              </w:rPr>
              <w:tab/>
            </w:r>
            <w:r w:rsidR="00C639EA">
              <w:rPr>
                <w:noProof/>
                <w:webHidden/>
              </w:rPr>
              <w:fldChar w:fldCharType="begin"/>
            </w:r>
            <w:r w:rsidR="00C639EA">
              <w:rPr>
                <w:noProof/>
                <w:webHidden/>
              </w:rPr>
              <w:instrText xml:space="preserve"> PAGEREF _Toc83886156 \h </w:instrText>
            </w:r>
            <w:r w:rsidR="00C639EA">
              <w:rPr>
                <w:noProof/>
                <w:webHidden/>
              </w:rPr>
            </w:r>
            <w:r w:rsidR="00C639EA">
              <w:rPr>
                <w:noProof/>
                <w:webHidden/>
              </w:rPr>
              <w:fldChar w:fldCharType="separate"/>
            </w:r>
            <w:r w:rsidR="00103FC3">
              <w:rPr>
                <w:noProof/>
                <w:webHidden/>
              </w:rPr>
              <w:t>55</w:t>
            </w:r>
            <w:r w:rsidR="00C639EA">
              <w:rPr>
                <w:noProof/>
                <w:webHidden/>
              </w:rPr>
              <w:fldChar w:fldCharType="end"/>
            </w:r>
          </w:hyperlink>
        </w:p>
        <w:p w14:paraId="633DF593" w14:textId="057DC13D" w:rsidR="00C639EA" w:rsidRDefault="00626CD5">
          <w:pPr>
            <w:pStyle w:val="TOC2"/>
            <w:rPr>
              <w:rFonts w:asciiTheme="minorHAnsi" w:eastAsiaTheme="minorEastAsia" w:hAnsiTheme="minorHAnsi"/>
              <w:noProof/>
            </w:rPr>
          </w:pPr>
          <w:hyperlink w:anchor="_Toc83886157" w:history="1">
            <w:r w:rsidR="00C639EA" w:rsidRPr="00075A37">
              <w:rPr>
                <w:rStyle w:val="Hyperlink"/>
                <w:noProof/>
                <w14:scene3d>
                  <w14:camera w14:prst="orthographicFront"/>
                  <w14:lightRig w14:rig="threePt" w14:dir="t">
                    <w14:rot w14:lat="0" w14:lon="0" w14:rev="0"/>
                  </w14:lightRig>
                </w14:scene3d>
              </w:rPr>
              <w:t>8.7</w:t>
            </w:r>
            <w:r w:rsidR="00C639EA">
              <w:rPr>
                <w:rFonts w:asciiTheme="minorHAnsi" w:eastAsiaTheme="minorEastAsia" w:hAnsiTheme="minorHAnsi"/>
                <w:noProof/>
              </w:rPr>
              <w:tab/>
            </w:r>
            <w:r w:rsidR="00C639EA" w:rsidRPr="00075A37">
              <w:rPr>
                <w:rStyle w:val="Hyperlink"/>
                <w:noProof/>
              </w:rPr>
              <w:t>Site Infrastructure</w:t>
            </w:r>
            <w:r w:rsidR="00C639EA">
              <w:rPr>
                <w:noProof/>
                <w:webHidden/>
              </w:rPr>
              <w:tab/>
            </w:r>
            <w:r w:rsidR="00C639EA">
              <w:rPr>
                <w:noProof/>
                <w:webHidden/>
              </w:rPr>
              <w:fldChar w:fldCharType="begin"/>
            </w:r>
            <w:r w:rsidR="00C639EA">
              <w:rPr>
                <w:noProof/>
                <w:webHidden/>
              </w:rPr>
              <w:instrText xml:space="preserve"> PAGEREF _Toc83886157 \h </w:instrText>
            </w:r>
            <w:r w:rsidR="00C639EA">
              <w:rPr>
                <w:noProof/>
                <w:webHidden/>
              </w:rPr>
            </w:r>
            <w:r w:rsidR="00C639EA">
              <w:rPr>
                <w:noProof/>
                <w:webHidden/>
              </w:rPr>
              <w:fldChar w:fldCharType="separate"/>
            </w:r>
            <w:r w:rsidR="00103FC3">
              <w:rPr>
                <w:noProof/>
                <w:webHidden/>
              </w:rPr>
              <w:t>56</w:t>
            </w:r>
            <w:r w:rsidR="00C639EA">
              <w:rPr>
                <w:noProof/>
                <w:webHidden/>
              </w:rPr>
              <w:fldChar w:fldCharType="end"/>
            </w:r>
          </w:hyperlink>
        </w:p>
        <w:p w14:paraId="5B02E9CF" w14:textId="5637E2E3" w:rsidR="00C639EA" w:rsidRDefault="00626CD5">
          <w:pPr>
            <w:pStyle w:val="TOC1"/>
            <w:rPr>
              <w:rFonts w:asciiTheme="minorHAnsi" w:eastAsiaTheme="minorEastAsia" w:hAnsiTheme="minorHAnsi"/>
              <w:b w:val="0"/>
              <w:noProof/>
              <w:sz w:val="22"/>
            </w:rPr>
          </w:pPr>
          <w:hyperlink w:anchor="_Toc83886158" w:history="1">
            <w:r w:rsidR="00C639EA" w:rsidRPr="00075A37">
              <w:rPr>
                <w:rStyle w:val="Hyperlink"/>
                <w:noProof/>
              </w:rPr>
              <w:t>9</w:t>
            </w:r>
            <w:r w:rsidR="00C639EA">
              <w:rPr>
                <w:rFonts w:asciiTheme="minorHAnsi" w:eastAsiaTheme="minorEastAsia" w:hAnsiTheme="minorHAnsi"/>
                <w:b w:val="0"/>
                <w:noProof/>
                <w:sz w:val="22"/>
              </w:rPr>
              <w:tab/>
            </w:r>
            <w:r w:rsidR="00C639EA" w:rsidRPr="00075A37">
              <w:rPr>
                <w:rStyle w:val="Hyperlink"/>
                <w:noProof/>
              </w:rPr>
              <w:t>LOOKING AHEAD:  NEW INSTRUMENTS and Capabilities</w:t>
            </w:r>
            <w:r w:rsidR="00C639EA">
              <w:rPr>
                <w:noProof/>
                <w:webHidden/>
              </w:rPr>
              <w:tab/>
            </w:r>
            <w:r w:rsidR="00C639EA">
              <w:rPr>
                <w:noProof/>
                <w:webHidden/>
              </w:rPr>
              <w:fldChar w:fldCharType="begin"/>
            </w:r>
            <w:r w:rsidR="00C639EA">
              <w:rPr>
                <w:noProof/>
                <w:webHidden/>
              </w:rPr>
              <w:instrText xml:space="preserve"> PAGEREF _Toc83886158 \h </w:instrText>
            </w:r>
            <w:r w:rsidR="00C639EA">
              <w:rPr>
                <w:noProof/>
                <w:webHidden/>
              </w:rPr>
            </w:r>
            <w:r w:rsidR="00C639EA">
              <w:rPr>
                <w:noProof/>
                <w:webHidden/>
              </w:rPr>
              <w:fldChar w:fldCharType="separate"/>
            </w:r>
            <w:r w:rsidR="00103FC3">
              <w:rPr>
                <w:noProof/>
                <w:webHidden/>
              </w:rPr>
              <w:t>57</w:t>
            </w:r>
            <w:r w:rsidR="00C639EA">
              <w:rPr>
                <w:noProof/>
                <w:webHidden/>
              </w:rPr>
              <w:fldChar w:fldCharType="end"/>
            </w:r>
          </w:hyperlink>
        </w:p>
        <w:p w14:paraId="19D08923" w14:textId="01BC5ACA" w:rsidR="00C639EA" w:rsidRDefault="00626CD5">
          <w:pPr>
            <w:pStyle w:val="TOC2"/>
            <w:rPr>
              <w:rFonts w:asciiTheme="minorHAnsi" w:eastAsiaTheme="minorEastAsia" w:hAnsiTheme="minorHAnsi"/>
              <w:noProof/>
            </w:rPr>
          </w:pPr>
          <w:hyperlink w:anchor="_Toc83886159" w:history="1">
            <w:r w:rsidR="00C639EA" w:rsidRPr="00075A37">
              <w:rPr>
                <w:rStyle w:val="Hyperlink"/>
                <w:noProof/>
                <w14:scene3d>
                  <w14:camera w14:prst="orthographicFront"/>
                  <w14:lightRig w14:rig="threePt" w14:dir="t">
                    <w14:rot w14:lat="0" w14:lon="0" w14:rev="0"/>
                  </w14:lightRig>
                </w14:scene3d>
              </w:rPr>
              <w:t>9.1</w:t>
            </w:r>
            <w:r w:rsidR="00C639EA">
              <w:rPr>
                <w:rFonts w:asciiTheme="minorHAnsi" w:eastAsiaTheme="minorEastAsia" w:hAnsiTheme="minorHAnsi"/>
                <w:noProof/>
              </w:rPr>
              <w:tab/>
            </w:r>
            <w:r w:rsidR="00C639EA" w:rsidRPr="00075A37">
              <w:rPr>
                <w:rStyle w:val="Hyperlink"/>
                <w:noProof/>
              </w:rPr>
              <w:t>Cyclic spectroscopy (CS)</w:t>
            </w:r>
            <w:r w:rsidR="00C639EA">
              <w:rPr>
                <w:noProof/>
                <w:webHidden/>
              </w:rPr>
              <w:tab/>
            </w:r>
            <w:r w:rsidR="00C639EA">
              <w:rPr>
                <w:noProof/>
                <w:webHidden/>
              </w:rPr>
              <w:fldChar w:fldCharType="begin"/>
            </w:r>
            <w:r w:rsidR="00C639EA">
              <w:rPr>
                <w:noProof/>
                <w:webHidden/>
              </w:rPr>
              <w:instrText xml:space="preserve"> PAGEREF _Toc83886159 \h </w:instrText>
            </w:r>
            <w:r w:rsidR="00C639EA">
              <w:rPr>
                <w:noProof/>
                <w:webHidden/>
              </w:rPr>
            </w:r>
            <w:r w:rsidR="00C639EA">
              <w:rPr>
                <w:noProof/>
                <w:webHidden/>
              </w:rPr>
              <w:fldChar w:fldCharType="separate"/>
            </w:r>
            <w:r w:rsidR="00103FC3">
              <w:rPr>
                <w:noProof/>
                <w:webHidden/>
              </w:rPr>
              <w:t>57</w:t>
            </w:r>
            <w:r w:rsidR="00C639EA">
              <w:rPr>
                <w:noProof/>
                <w:webHidden/>
              </w:rPr>
              <w:fldChar w:fldCharType="end"/>
            </w:r>
          </w:hyperlink>
        </w:p>
        <w:p w14:paraId="7029BC82" w14:textId="69D223E8" w:rsidR="00C639EA" w:rsidRDefault="00626CD5">
          <w:pPr>
            <w:pStyle w:val="TOC2"/>
            <w:rPr>
              <w:rFonts w:asciiTheme="minorHAnsi" w:eastAsiaTheme="minorEastAsia" w:hAnsiTheme="minorHAnsi"/>
              <w:noProof/>
            </w:rPr>
          </w:pPr>
          <w:hyperlink w:anchor="_Toc83886160" w:history="1">
            <w:r w:rsidR="00C639EA" w:rsidRPr="00075A37">
              <w:rPr>
                <w:rStyle w:val="Hyperlink"/>
                <w:noProof/>
                <w14:scene3d>
                  <w14:camera w14:prst="orthographicFront"/>
                  <w14:lightRig w14:rig="threePt" w14:dir="t">
                    <w14:rot w14:lat="0" w14:lon="0" w14:rev="0"/>
                  </w14:lightRig>
                </w14:scene3d>
              </w:rPr>
              <w:t>9.2</w:t>
            </w:r>
            <w:r w:rsidR="00C639EA">
              <w:rPr>
                <w:rFonts w:asciiTheme="minorHAnsi" w:eastAsiaTheme="minorEastAsia" w:hAnsiTheme="minorHAnsi"/>
                <w:noProof/>
              </w:rPr>
              <w:tab/>
            </w:r>
            <w:r w:rsidR="00C639EA" w:rsidRPr="00075A37">
              <w:rPr>
                <w:rStyle w:val="Hyperlink"/>
                <w:noProof/>
              </w:rPr>
              <w:t>Laser Antenna Surface Scanning Instrument (LASSI)</w:t>
            </w:r>
            <w:r w:rsidR="00C639EA">
              <w:rPr>
                <w:noProof/>
                <w:webHidden/>
              </w:rPr>
              <w:tab/>
            </w:r>
            <w:r w:rsidR="00C639EA">
              <w:rPr>
                <w:noProof/>
                <w:webHidden/>
              </w:rPr>
              <w:fldChar w:fldCharType="begin"/>
            </w:r>
            <w:r w:rsidR="00C639EA">
              <w:rPr>
                <w:noProof/>
                <w:webHidden/>
              </w:rPr>
              <w:instrText xml:space="preserve"> PAGEREF _Toc83886160 \h </w:instrText>
            </w:r>
            <w:r w:rsidR="00C639EA">
              <w:rPr>
                <w:noProof/>
                <w:webHidden/>
              </w:rPr>
            </w:r>
            <w:r w:rsidR="00C639EA">
              <w:rPr>
                <w:noProof/>
                <w:webHidden/>
              </w:rPr>
              <w:fldChar w:fldCharType="separate"/>
            </w:r>
            <w:r w:rsidR="00103FC3">
              <w:rPr>
                <w:noProof/>
                <w:webHidden/>
              </w:rPr>
              <w:t>57</w:t>
            </w:r>
            <w:r w:rsidR="00C639EA">
              <w:rPr>
                <w:noProof/>
                <w:webHidden/>
              </w:rPr>
              <w:fldChar w:fldCharType="end"/>
            </w:r>
          </w:hyperlink>
        </w:p>
        <w:p w14:paraId="0C31BB4B" w14:textId="68270412" w:rsidR="00C639EA" w:rsidRDefault="00626CD5">
          <w:pPr>
            <w:pStyle w:val="TOC2"/>
            <w:rPr>
              <w:rFonts w:asciiTheme="minorHAnsi" w:eastAsiaTheme="minorEastAsia" w:hAnsiTheme="minorHAnsi"/>
              <w:noProof/>
            </w:rPr>
          </w:pPr>
          <w:hyperlink w:anchor="_Toc83886161" w:history="1">
            <w:r w:rsidR="00C639EA" w:rsidRPr="00075A37">
              <w:rPr>
                <w:rStyle w:val="Hyperlink"/>
                <w:noProof/>
                <w14:scene3d>
                  <w14:camera w14:prst="orthographicFront"/>
                  <w14:lightRig w14:rig="threePt" w14:dir="t">
                    <w14:rot w14:lat="0" w14:lon="0" w14:rev="0"/>
                  </w14:lightRig>
                </w14:scene3d>
              </w:rPr>
              <w:t>9.3</w:t>
            </w:r>
            <w:r w:rsidR="00C639EA">
              <w:rPr>
                <w:rFonts w:asciiTheme="minorHAnsi" w:eastAsiaTheme="minorEastAsia" w:hAnsiTheme="minorHAnsi"/>
                <w:noProof/>
              </w:rPr>
              <w:tab/>
            </w:r>
            <w:r w:rsidR="00C639EA" w:rsidRPr="00075A37">
              <w:rPr>
                <w:rStyle w:val="Hyperlink"/>
                <w:noProof/>
              </w:rPr>
              <w:t>Ultra-Wideband Receiver (UWBR)</w:t>
            </w:r>
            <w:r w:rsidR="00C639EA">
              <w:rPr>
                <w:noProof/>
                <w:webHidden/>
              </w:rPr>
              <w:tab/>
            </w:r>
            <w:r w:rsidR="00C639EA">
              <w:rPr>
                <w:noProof/>
                <w:webHidden/>
              </w:rPr>
              <w:fldChar w:fldCharType="begin"/>
            </w:r>
            <w:r w:rsidR="00C639EA">
              <w:rPr>
                <w:noProof/>
                <w:webHidden/>
              </w:rPr>
              <w:instrText xml:space="preserve"> PAGEREF _Toc83886161 \h </w:instrText>
            </w:r>
            <w:r w:rsidR="00C639EA">
              <w:rPr>
                <w:noProof/>
                <w:webHidden/>
              </w:rPr>
            </w:r>
            <w:r w:rsidR="00C639EA">
              <w:rPr>
                <w:noProof/>
                <w:webHidden/>
              </w:rPr>
              <w:fldChar w:fldCharType="separate"/>
            </w:r>
            <w:r w:rsidR="00103FC3">
              <w:rPr>
                <w:noProof/>
                <w:webHidden/>
              </w:rPr>
              <w:t>58</w:t>
            </w:r>
            <w:r w:rsidR="00C639EA">
              <w:rPr>
                <w:noProof/>
                <w:webHidden/>
              </w:rPr>
              <w:fldChar w:fldCharType="end"/>
            </w:r>
          </w:hyperlink>
        </w:p>
        <w:p w14:paraId="6AEAEDA8" w14:textId="545DBE84" w:rsidR="00C639EA" w:rsidRDefault="00626CD5">
          <w:pPr>
            <w:pStyle w:val="TOC2"/>
            <w:rPr>
              <w:rFonts w:asciiTheme="minorHAnsi" w:eastAsiaTheme="minorEastAsia" w:hAnsiTheme="minorHAnsi"/>
              <w:noProof/>
            </w:rPr>
          </w:pPr>
          <w:hyperlink w:anchor="_Toc83886162" w:history="1">
            <w:r w:rsidR="00C639EA" w:rsidRPr="00075A37">
              <w:rPr>
                <w:rStyle w:val="Hyperlink"/>
                <w:noProof/>
                <w14:scene3d>
                  <w14:camera w14:prst="orthographicFront"/>
                  <w14:lightRig w14:rig="threePt" w14:dir="t">
                    <w14:rot w14:lat="0" w14:lon="0" w14:rev="0"/>
                  </w14:lightRig>
                </w14:scene3d>
              </w:rPr>
              <w:t>9.4</w:t>
            </w:r>
            <w:r w:rsidR="00C639EA">
              <w:rPr>
                <w:rFonts w:asciiTheme="minorHAnsi" w:eastAsiaTheme="minorEastAsia" w:hAnsiTheme="minorHAnsi"/>
                <w:noProof/>
              </w:rPr>
              <w:tab/>
            </w:r>
            <w:r w:rsidR="00C639EA" w:rsidRPr="00075A37">
              <w:rPr>
                <w:rStyle w:val="Hyperlink"/>
                <w:noProof/>
              </w:rPr>
              <w:t>Wide-band Digital Technology and Interference Excision</w:t>
            </w:r>
            <w:r w:rsidR="00C639EA">
              <w:rPr>
                <w:noProof/>
                <w:webHidden/>
              </w:rPr>
              <w:tab/>
            </w:r>
            <w:r w:rsidR="00C639EA">
              <w:rPr>
                <w:noProof/>
                <w:webHidden/>
              </w:rPr>
              <w:fldChar w:fldCharType="begin"/>
            </w:r>
            <w:r w:rsidR="00C639EA">
              <w:rPr>
                <w:noProof/>
                <w:webHidden/>
              </w:rPr>
              <w:instrText xml:space="preserve"> PAGEREF _Toc83886162 \h </w:instrText>
            </w:r>
            <w:r w:rsidR="00C639EA">
              <w:rPr>
                <w:noProof/>
                <w:webHidden/>
              </w:rPr>
            </w:r>
            <w:r w:rsidR="00C639EA">
              <w:rPr>
                <w:noProof/>
                <w:webHidden/>
              </w:rPr>
              <w:fldChar w:fldCharType="separate"/>
            </w:r>
            <w:r w:rsidR="00103FC3">
              <w:rPr>
                <w:noProof/>
                <w:webHidden/>
              </w:rPr>
              <w:t>58</w:t>
            </w:r>
            <w:r w:rsidR="00C639EA">
              <w:rPr>
                <w:noProof/>
                <w:webHidden/>
              </w:rPr>
              <w:fldChar w:fldCharType="end"/>
            </w:r>
          </w:hyperlink>
        </w:p>
        <w:p w14:paraId="51AC35D3" w14:textId="01C65431" w:rsidR="00C639EA" w:rsidRDefault="00626CD5">
          <w:pPr>
            <w:pStyle w:val="TOC2"/>
            <w:rPr>
              <w:rFonts w:asciiTheme="minorHAnsi" w:eastAsiaTheme="minorEastAsia" w:hAnsiTheme="minorHAnsi"/>
              <w:noProof/>
            </w:rPr>
          </w:pPr>
          <w:hyperlink w:anchor="_Toc83886163" w:history="1">
            <w:r w:rsidR="00C639EA" w:rsidRPr="00075A37">
              <w:rPr>
                <w:rStyle w:val="Hyperlink"/>
                <w:noProof/>
                <w14:scene3d>
                  <w14:camera w14:prst="orthographicFront"/>
                  <w14:lightRig w14:rig="threePt" w14:dir="t">
                    <w14:rot w14:lat="0" w14:lon="0" w14:rev="0"/>
                  </w14:lightRig>
                </w14:scene3d>
              </w:rPr>
              <w:t>9.5</w:t>
            </w:r>
            <w:r w:rsidR="00C639EA">
              <w:rPr>
                <w:rFonts w:asciiTheme="minorHAnsi" w:eastAsiaTheme="minorEastAsia" w:hAnsiTheme="minorHAnsi"/>
                <w:noProof/>
              </w:rPr>
              <w:tab/>
            </w:r>
            <w:r w:rsidR="00C639EA" w:rsidRPr="00075A37">
              <w:rPr>
                <w:rStyle w:val="Hyperlink"/>
                <w:noProof/>
              </w:rPr>
              <w:t>Potential Future GBT Instrumentation</w:t>
            </w:r>
            <w:r w:rsidR="00C639EA">
              <w:rPr>
                <w:noProof/>
                <w:webHidden/>
              </w:rPr>
              <w:tab/>
            </w:r>
            <w:r w:rsidR="00C639EA">
              <w:rPr>
                <w:noProof/>
                <w:webHidden/>
              </w:rPr>
              <w:fldChar w:fldCharType="begin"/>
            </w:r>
            <w:r w:rsidR="00C639EA">
              <w:rPr>
                <w:noProof/>
                <w:webHidden/>
              </w:rPr>
              <w:instrText xml:space="preserve"> PAGEREF _Toc83886163 \h </w:instrText>
            </w:r>
            <w:r w:rsidR="00C639EA">
              <w:rPr>
                <w:noProof/>
                <w:webHidden/>
              </w:rPr>
            </w:r>
            <w:r w:rsidR="00C639EA">
              <w:rPr>
                <w:noProof/>
                <w:webHidden/>
              </w:rPr>
              <w:fldChar w:fldCharType="separate"/>
            </w:r>
            <w:r w:rsidR="00103FC3">
              <w:rPr>
                <w:noProof/>
                <w:webHidden/>
              </w:rPr>
              <w:t>59</w:t>
            </w:r>
            <w:r w:rsidR="00C639EA">
              <w:rPr>
                <w:noProof/>
                <w:webHidden/>
              </w:rPr>
              <w:fldChar w:fldCharType="end"/>
            </w:r>
          </w:hyperlink>
        </w:p>
        <w:p w14:paraId="5699B9CA" w14:textId="6661981D" w:rsidR="00C639EA" w:rsidRDefault="00626CD5">
          <w:pPr>
            <w:pStyle w:val="TOC1"/>
            <w:rPr>
              <w:rFonts w:asciiTheme="minorHAnsi" w:eastAsiaTheme="minorEastAsia" w:hAnsiTheme="minorHAnsi"/>
              <w:b w:val="0"/>
              <w:noProof/>
              <w:sz w:val="22"/>
            </w:rPr>
          </w:pPr>
          <w:hyperlink w:anchor="_Toc83886164" w:history="1">
            <w:r w:rsidR="00C639EA" w:rsidRPr="00075A37">
              <w:rPr>
                <w:rStyle w:val="Hyperlink"/>
                <w:noProof/>
              </w:rPr>
              <w:t>10</w:t>
            </w:r>
            <w:r w:rsidR="00C639EA">
              <w:rPr>
                <w:rFonts w:asciiTheme="minorHAnsi" w:eastAsiaTheme="minorEastAsia" w:hAnsiTheme="minorHAnsi"/>
                <w:b w:val="0"/>
                <w:noProof/>
                <w:sz w:val="22"/>
              </w:rPr>
              <w:tab/>
            </w:r>
            <w:r w:rsidR="00C639EA" w:rsidRPr="00075A37">
              <w:rPr>
                <w:rStyle w:val="Hyperlink"/>
                <w:noProof/>
              </w:rPr>
              <w:t>SECURING THE FUTURE</w:t>
            </w:r>
            <w:r w:rsidR="00C639EA">
              <w:rPr>
                <w:noProof/>
                <w:webHidden/>
              </w:rPr>
              <w:tab/>
            </w:r>
            <w:r w:rsidR="00C639EA">
              <w:rPr>
                <w:noProof/>
                <w:webHidden/>
              </w:rPr>
              <w:fldChar w:fldCharType="begin"/>
            </w:r>
            <w:r w:rsidR="00C639EA">
              <w:rPr>
                <w:noProof/>
                <w:webHidden/>
              </w:rPr>
              <w:instrText xml:space="preserve"> PAGEREF _Toc83886164 \h </w:instrText>
            </w:r>
            <w:r w:rsidR="00C639EA">
              <w:rPr>
                <w:noProof/>
                <w:webHidden/>
              </w:rPr>
            </w:r>
            <w:r w:rsidR="00C639EA">
              <w:rPr>
                <w:noProof/>
                <w:webHidden/>
              </w:rPr>
              <w:fldChar w:fldCharType="separate"/>
            </w:r>
            <w:r w:rsidR="00103FC3">
              <w:rPr>
                <w:noProof/>
                <w:webHidden/>
              </w:rPr>
              <w:t>61</w:t>
            </w:r>
            <w:r w:rsidR="00C639EA">
              <w:rPr>
                <w:noProof/>
                <w:webHidden/>
              </w:rPr>
              <w:fldChar w:fldCharType="end"/>
            </w:r>
          </w:hyperlink>
        </w:p>
        <w:p w14:paraId="627967ED" w14:textId="58FD0FBF" w:rsidR="00C639EA" w:rsidRDefault="00626CD5">
          <w:pPr>
            <w:pStyle w:val="TOC2"/>
            <w:rPr>
              <w:rFonts w:asciiTheme="minorHAnsi" w:eastAsiaTheme="minorEastAsia" w:hAnsiTheme="minorHAnsi"/>
              <w:noProof/>
            </w:rPr>
          </w:pPr>
          <w:hyperlink w:anchor="_Toc83886165" w:history="1">
            <w:r w:rsidR="00C639EA" w:rsidRPr="00075A37">
              <w:rPr>
                <w:rStyle w:val="Hyperlink"/>
                <w:noProof/>
                <w14:scene3d>
                  <w14:camera w14:prst="orthographicFront"/>
                  <w14:lightRig w14:rig="threePt" w14:dir="t">
                    <w14:rot w14:lat="0" w14:lon="0" w14:rev="0"/>
                  </w14:lightRig>
                </w14:scene3d>
              </w:rPr>
              <w:t>10.1</w:t>
            </w:r>
            <w:r w:rsidR="00C639EA">
              <w:rPr>
                <w:rFonts w:asciiTheme="minorHAnsi" w:eastAsiaTheme="minorEastAsia" w:hAnsiTheme="minorHAnsi"/>
                <w:noProof/>
              </w:rPr>
              <w:tab/>
            </w:r>
            <w:r w:rsidR="00C639EA" w:rsidRPr="00075A37">
              <w:rPr>
                <w:rStyle w:val="Hyperlink"/>
                <w:noProof/>
              </w:rPr>
              <w:t>Partnership Development</w:t>
            </w:r>
            <w:r w:rsidR="00C639EA">
              <w:rPr>
                <w:noProof/>
                <w:webHidden/>
              </w:rPr>
              <w:tab/>
            </w:r>
            <w:r w:rsidR="00C639EA">
              <w:rPr>
                <w:noProof/>
                <w:webHidden/>
              </w:rPr>
              <w:fldChar w:fldCharType="begin"/>
            </w:r>
            <w:r w:rsidR="00C639EA">
              <w:rPr>
                <w:noProof/>
                <w:webHidden/>
              </w:rPr>
              <w:instrText xml:space="preserve"> PAGEREF _Toc83886165 \h </w:instrText>
            </w:r>
            <w:r w:rsidR="00C639EA">
              <w:rPr>
                <w:noProof/>
                <w:webHidden/>
              </w:rPr>
            </w:r>
            <w:r w:rsidR="00C639EA">
              <w:rPr>
                <w:noProof/>
                <w:webHidden/>
              </w:rPr>
              <w:fldChar w:fldCharType="separate"/>
            </w:r>
            <w:r w:rsidR="00103FC3">
              <w:rPr>
                <w:noProof/>
                <w:webHidden/>
              </w:rPr>
              <w:t>61</w:t>
            </w:r>
            <w:r w:rsidR="00C639EA">
              <w:rPr>
                <w:noProof/>
                <w:webHidden/>
              </w:rPr>
              <w:fldChar w:fldCharType="end"/>
            </w:r>
          </w:hyperlink>
        </w:p>
        <w:p w14:paraId="6694DE5D" w14:textId="09414C4F" w:rsidR="00C639EA" w:rsidRDefault="00626CD5">
          <w:pPr>
            <w:pStyle w:val="TOC2"/>
            <w:rPr>
              <w:rFonts w:asciiTheme="minorHAnsi" w:eastAsiaTheme="minorEastAsia" w:hAnsiTheme="minorHAnsi"/>
              <w:noProof/>
            </w:rPr>
          </w:pPr>
          <w:hyperlink w:anchor="_Toc83886166" w:history="1">
            <w:r w:rsidR="00C639EA" w:rsidRPr="00075A37">
              <w:rPr>
                <w:rStyle w:val="Hyperlink"/>
                <w:noProof/>
                <w14:scene3d>
                  <w14:camera w14:prst="orthographicFront"/>
                  <w14:lightRig w14:rig="threePt" w14:dir="t">
                    <w14:rot w14:lat="0" w14:lon="0" w14:rev="0"/>
                  </w14:lightRig>
                </w14:scene3d>
              </w:rPr>
              <w:t>10.2</w:t>
            </w:r>
            <w:r w:rsidR="00C639EA">
              <w:rPr>
                <w:rFonts w:asciiTheme="minorHAnsi" w:eastAsiaTheme="minorEastAsia" w:hAnsiTheme="minorHAnsi"/>
                <w:noProof/>
              </w:rPr>
              <w:tab/>
            </w:r>
            <w:r w:rsidR="00C639EA" w:rsidRPr="00075A37">
              <w:rPr>
                <w:rStyle w:val="Hyperlink"/>
                <w:noProof/>
              </w:rPr>
              <w:t>New Research and Development Initiatives</w:t>
            </w:r>
            <w:r w:rsidR="00C639EA">
              <w:rPr>
                <w:noProof/>
                <w:webHidden/>
              </w:rPr>
              <w:tab/>
            </w:r>
            <w:r w:rsidR="00C639EA">
              <w:rPr>
                <w:noProof/>
                <w:webHidden/>
              </w:rPr>
              <w:fldChar w:fldCharType="begin"/>
            </w:r>
            <w:r w:rsidR="00C639EA">
              <w:rPr>
                <w:noProof/>
                <w:webHidden/>
              </w:rPr>
              <w:instrText xml:space="preserve"> PAGEREF _Toc83886166 \h </w:instrText>
            </w:r>
            <w:r w:rsidR="00C639EA">
              <w:rPr>
                <w:noProof/>
                <w:webHidden/>
              </w:rPr>
            </w:r>
            <w:r w:rsidR="00C639EA">
              <w:rPr>
                <w:noProof/>
                <w:webHidden/>
              </w:rPr>
              <w:fldChar w:fldCharType="separate"/>
            </w:r>
            <w:r w:rsidR="00103FC3">
              <w:rPr>
                <w:noProof/>
                <w:webHidden/>
              </w:rPr>
              <w:t>62</w:t>
            </w:r>
            <w:r w:rsidR="00C639EA">
              <w:rPr>
                <w:noProof/>
                <w:webHidden/>
              </w:rPr>
              <w:fldChar w:fldCharType="end"/>
            </w:r>
          </w:hyperlink>
        </w:p>
        <w:p w14:paraId="78238BDE" w14:textId="456457D0" w:rsidR="00C639EA" w:rsidRDefault="00626CD5">
          <w:pPr>
            <w:pStyle w:val="TOC2"/>
            <w:rPr>
              <w:rFonts w:asciiTheme="minorHAnsi" w:eastAsiaTheme="minorEastAsia" w:hAnsiTheme="minorHAnsi"/>
              <w:noProof/>
            </w:rPr>
          </w:pPr>
          <w:hyperlink w:anchor="_Toc83886167" w:history="1">
            <w:r w:rsidR="00C639EA" w:rsidRPr="00075A37">
              <w:rPr>
                <w:rStyle w:val="Hyperlink"/>
                <w:noProof/>
                <w14:scene3d>
                  <w14:camera w14:prst="orthographicFront"/>
                  <w14:lightRig w14:rig="threePt" w14:dir="t">
                    <w14:rot w14:lat="0" w14:lon="0" w14:rev="0"/>
                  </w14:lightRig>
                </w14:scene3d>
              </w:rPr>
              <w:t>10.3</w:t>
            </w:r>
            <w:r w:rsidR="00C639EA">
              <w:rPr>
                <w:rFonts w:asciiTheme="minorHAnsi" w:eastAsiaTheme="minorEastAsia" w:hAnsiTheme="minorHAnsi"/>
                <w:noProof/>
              </w:rPr>
              <w:tab/>
            </w:r>
            <w:r w:rsidR="00C639EA" w:rsidRPr="00075A37">
              <w:rPr>
                <w:rStyle w:val="Hyperlink"/>
                <w:noProof/>
              </w:rPr>
              <w:t>Other AUI Observatory Synergies</w:t>
            </w:r>
            <w:r w:rsidR="00C639EA">
              <w:rPr>
                <w:noProof/>
                <w:webHidden/>
              </w:rPr>
              <w:tab/>
            </w:r>
            <w:r w:rsidR="00C639EA">
              <w:rPr>
                <w:noProof/>
                <w:webHidden/>
              </w:rPr>
              <w:fldChar w:fldCharType="begin"/>
            </w:r>
            <w:r w:rsidR="00C639EA">
              <w:rPr>
                <w:noProof/>
                <w:webHidden/>
              </w:rPr>
              <w:instrText xml:space="preserve"> PAGEREF _Toc83886167 \h </w:instrText>
            </w:r>
            <w:r w:rsidR="00C639EA">
              <w:rPr>
                <w:noProof/>
                <w:webHidden/>
              </w:rPr>
            </w:r>
            <w:r w:rsidR="00C639EA">
              <w:rPr>
                <w:noProof/>
                <w:webHidden/>
              </w:rPr>
              <w:fldChar w:fldCharType="separate"/>
            </w:r>
            <w:r w:rsidR="00103FC3">
              <w:rPr>
                <w:noProof/>
                <w:webHidden/>
              </w:rPr>
              <w:t>63</w:t>
            </w:r>
            <w:r w:rsidR="00C639EA">
              <w:rPr>
                <w:noProof/>
                <w:webHidden/>
              </w:rPr>
              <w:fldChar w:fldCharType="end"/>
            </w:r>
          </w:hyperlink>
        </w:p>
        <w:p w14:paraId="06B9CE0B" w14:textId="7AE42C35" w:rsidR="00C639EA" w:rsidRDefault="00626CD5">
          <w:pPr>
            <w:pStyle w:val="TOC2"/>
            <w:rPr>
              <w:rFonts w:asciiTheme="minorHAnsi" w:eastAsiaTheme="minorEastAsia" w:hAnsiTheme="minorHAnsi"/>
              <w:noProof/>
            </w:rPr>
          </w:pPr>
          <w:hyperlink w:anchor="_Toc83886168" w:history="1">
            <w:r w:rsidR="00C639EA" w:rsidRPr="00075A37">
              <w:rPr>
                <w:rStyle w:val="Hyperlink"/>
                <w:noProof/>
                <w14:scene3d>
                  <w14:camera w14:prst="orthographicFront"/>
                  <w14:lightRig w14:rig="threePt" w14:dir="t">
                    <w14:rot w14:lat="0" w14:lon="0" w14:rev="0"/>
                  </w14:lightRig>
                </w14:scene3d>
              </w:rPr>
              <w:t>10.4</w:t>
            </w:r>
            <w:r w:rsidR="00C639EA">
              <w:rPr>
                <w:rFonts w:asciiTheme="minorHAnsi" w:eastAsiaTheme="minorEastAsia" w:hAnsiTheme="minorHAnsi"/>
                <w:noProof/>
              </w:rPr>
              <w:tab/>
            </w:r>
            <w:r w:rsidR="00C639EA" w:rsidRPr="00075A37">
              <w:rPr>
                <w:rStyle w:val="Hyperlink"/>
                <w:noProof/>
              </w:rPr>
              <w:t>Work for Others</w:t>
            </w:r>
            <w:r w:rsidR="00C639EA">
              <w:rPr>
                <w:noProof/>
                <w:webHidden/>
              </w:rPr>
              <w:tab/>
            </w:r>
            <w:r w:rsidR="00C639EA">
              <w:rPr>
                <w:noProof/>
                <w:webHidden/>
              </w:rPr>
              <w:fldChar w:fldCharType="begin"/>
            </w:r>
            <w:r w:rsidR="00C639EA">
              <w:rPr>
                <w:noProof/>
                <w:webHidden/>
              </w:rPr>
              <w:instrText xml:space="preserve"> PAGEREF _Toc83886168 \h </w:instrText>
            </w:r>
            <w:r w:rsidR="00C639EA">
              <w:rPr>
                <w:noProof/>
                <w:webHidden/>
              </w:rPr>
            </w:r>
            <w:r w:rsidR="00C639EA">
              <w:rPr>
                <w:noProof/>
                <w:webHidden/>
              </w:rPr>
              <w:fldChar w:fldCharType="separate"/>
            </w:r>
            <w:r w:rsidR="00103FC3">
              <w:rPr>
                <w:noProof/>
                <w:webHidden/>
              </w:rPr>
              <w:t>64</w:t>
            </w:r>
            <w:r w:rsidR="00C639EA">
              <w:rPr>
                <w:noProof/>
                <w:webHidden/>
              </w:rPr>
              <w:fldChar w:fldCharType="end"/>
            </w:r>
          </w:hyperlink>
        </w:p>
        <w:p w14:paraId="2122425B" w14:textId="546FE43F" w:rsidR="00C639EA" w:rsidRDefault="00626CD5">
          <w:pPr>
            <w:pStyle w:val="TOC1"/>
            <w:rPr>
              <w:rFonts w:asciiTheme="minorHAnsi" w:eastAsiaTheme="minorEastAsia" w:hAnsiTheme="minorHAnsi"/>
              <w:b w:val="0"/>
              <w:noProof/>
              <w:sz w:val="22"/>
            </w:rPr>
          </w:pPr>
          <w:hyperlink w:anchor="_Toc83886169" w:history="1">
            <w:r w:rsidR="00C639EA" w:rsidRPr="00075A37">
              <w:rPr>
                <w:rStyle w:val="Hyperlink"/>
                <w:noProof/>
              </w:rPr>
              <w:t>11</w:t>
            </w:r>
            <w:r w:rsidR="00C639EA">
              <w:rPr>
                <w:rFonts w:asciiTheme="minorHAnsi" w:eastAsiaTheme="minorEastAsia" w:hAnsiTheme="minorHAnsi"/>
                <w:b w:val="0"/>
                <w:noProof/>
                <w:sz w:val="22"/>
              </w:rPr>
              <w:tab/>
            </w:r>
            <w:r w:rsidR="00C639EA" w:rsidRPr="00075A37">
              <w:rPr>
                <w:rStyle w:val="Hyperlink"/>
                <w:noProof/>
              </w:rPr>
              <w:t>BUDGET</w:t>
            </w:r>
            <w:r w:rsidR="00C639EA">
              <w:rPr>
                <w:noProof/>
                <w:webHidden/>
              </w:rPr>
              <w:tab/>
            </w:r>
            <w:r w:rsidR="00C639EA">
              <w:rPr>
                <w:noProof/>
                <w:webHidden/>
              </w:rPr>
              <w:fldChar w:fldCharType="begin"/>
            </w:r>
            <w:r w:rsidR="00C639EA">
              <w:rPr>
                <w:noProof/>
                <w:webHidden/>
              </w:rPr>
              <w:instrText xml:space="preserve"> PAGEREF _Toc83886169 \h </w:instrText>
            </w:r>
            <w:r w:rsidR="00C639EA">
              <w:rPr>
                <w:noProof/>
                <w:webHidden/>
              </w:rPr>
            </w:r>
            <w:r w:rsidR="00C639EA">
              <w:rPr>
                <w:noProof/>
                <w:webHidden/>
              </w:rPr>
              <w:fldChar w:fldCharType="separate"/>
            </w:r>
            <w:r w:rsidR="00103FC3">
              <w:rPr>
                <w:noProof/>
                <w:webHidden/>
              </w:rPr>
              <w:t>66</w:t>
            </w:r>
            <w:r w:rsidR="00C639EA">
              <w:rPr>
                <w:noProof/>
                <w:webHidden/>
              </w:rPr>
              <w:fldChar w:fldCharType="end"/>
            </w:r>
          </w:hyperlink>
        </w:p>
        <w:p w14:paraId="3A58660A" w14:textId="487F084C" w:rsidR="00C639EA" w:rsidRDefault="00626CD5">
          <w:pPr>
            <w:pStyle w:val="TOC1"/>
            <w:rPr>
              <w:rFonts w:asciiTheme="minorHAnsi" w:eastAsiaTheme="minorEastAsia" w:hAnsiTheme="minorHAnsi"/>
              <w:b w:val="0"/>
              <w:noProof/>
              <w:sz w:val="22"/>
            </w:rPr>
          </w:pPr>
          <w:hyperlink w:anchor="_Toc83886170" w:history="1">
            <w:r w:rsidR="00C639EA" w:rsidRPr="00075A37">
              <w:rPr>
                <w:rStyle w:val="Hyperlink"/>
                <w:noProof/>
              </w:rPr>
              <w:t>12</w:t>
            </w:r>
            <w:r w:rsidR="00C639EA">
              <w:rPr>
                <w:rFonts w:asciiTheme="minorHAnsi" w:eastAsiaTheme="minorEastAsia" w:hAnsiTheme="minorHAnsi"/>
                <w:b w:val="0"/>
                <w:noProof/>
                <w:sz w:val="22"/>
              </w:rPr>
              <w:tab/>
            </w:r>
            <w:r w:rsidR="00C639EA" w:rsidRPr="00075A37">
              <w:rPr>
                <w:rStyle w:val="Hyperlink"/>
                <w:noProof/>
              </w:rPr>
              <w:t>APPENDIX A: FINANCIAL PLAN</w:t>
            </w:r>
            <w:r w:rsidR="00C639EA">
              <w:rPr>
                <w:noProof/>
                <w:webHidden/>
              </w:rPr>
              <w:tab/>
            </w:r>
            <w:r w:rsidR="00C639EA">
              <w:rPr>
                <w:noProof/>
                <w:webHidden/>
              </w:rPr>
              <w:fldChar w:fldCharType="begin"/>
            </w:r>
            <w:r w:rsidR="00C639EA">
              <w:rPr>
                <w:noProof/>
                <w:webHidden/>
              </w:rPr>
              <w:instrText xml:space="preserve"> PAGEREF _Toc83886170 \h </w:instrText>
            </w:r>
            <w:r w:rsidR="00C639EA">
              <w:rPr>
                <w:noProof/>
                <w:webHidden/>
              </w:rPr>
            </w:r>
            <w:r w:rsidR="00C639EA">
              <w:rPr>
                <w:noProof/>
                <w:webHidden/>
              </w:rPr>
              <w:fldChar w:fldCharType="separate"/>
            </w:r>
            <w:r w:rsidR="00103FC3">
              <w:rPr>
                <w:noProof/>
                <w:webHidden/>
              </w:rPr>
              <w:t>69</w:t>
            </w:r>
            <w:r w:rsidR="00C639EA">
              <w:rPr>
                <w:noProof/>
                <w:webHidden/>
              </w:rPr>
              <w:fldChar w:fldCharType="end"/>
            </w:r>
          </w:hyperlink>
        </w:p>
        <w:p w14:paraId="6C4F6453" w14:textId="3896DED7" w:rsidR="00C639EA" w:rsidRDefault="00626CD5">
          <w:pPr>
            <w:pStyle w:val="TOC1"/>
            <w:rPr>
              <w:rFonts w:asciiTheme="minorHAnsi" w:eastAsiaTheme="minorEastAsia" w:hAnsiTheme="minorHAnsi"/>
              <w:b w:val="0"/>
              <w:noProof/>
              <w:sz w:val="22"/>
            </w:rPr>
          </w:pPr>
          <w:hyperlink w:anchor="_Toc83886171" w:history="1">
            <w:r w:rsidR="00C639EA" w:rsidRPr="00075A37">
              <w:rPr>
                <w:rStyle w:val="Hyperlink"/>
                <w:noProof/>
              </w:rPr>
              <w:t>13</w:t>
            </w:r>
            <w:r w:rsidR="00C639EA">
              <w:rPr>
                <w:rFonts w:asciiTheme="minorHAnsi" w:eastAsiaTheme="minorEastAsia" w:hAnsiTheme="minorHAnsi"/>
                <w:b w:val="0"/>
                <w:noProof/>
                <w:sz w:val="22"/>
              </w:rPr>
              <w:tab/>
            </w:r>
            <w:r w:rsidR="00C639EA" w:rsidRPr="00075A37">
              <w:rPr>
                <w:rStyle w:val="Hyperlink"/>
                <w:noProof/>
              </w:rPr>
              <w:t>APPENDIX B: WBS STRUCTURE</w:t>
            </w:r>
            <w:r w:rsidR="00C639EA">
              <w:rPr>
                <w:noProof/>
                <w:webHidden/>
              </w:rPr>
              <w:tab/>
            </w:r>
            <w:r w:rsidR="00C639EA">
              <w:rPr>
                <w:noProof/>
                <w:webHidden/>
              </w:rPr>
              <w:fldChar w:fldCharType="begin"/>
            </w:r>
            <w:r w:rsidR="00C639EA">
              <w:rPr>
                <w:noProof/>
                <w:webHidden/>
              </w:rPr>
              <w:instrText xml:space="preserve"> PAGEREF _Toc83886171 \h </w:instrText>
            </w:r>
            <w:r w:rsidR="00C639EA">
              <w:rPr>
                <w:noProof/>
                <w:webHidden/>
              </w:rPr>
            </w:r>
            <w:r w:rsidR="00C639EA">
              <w:rPr>
                <w:noProof/>
                <w:webHidden/>
              </w:rPr>
              <w:fldChar w:fldCharType="separate"/>
            </w:r>
            <w:r w:rsidR="00103FC3">
              <w:rPr>
                <w:noProof/>
                <w:webHidden/>
              </w:rPr>
              <w:t>70</w:t>
            </w:r>
            <w:r w:rsidR="00C639EA">
              <w:rPr>
                <w:noProof/>
                <w:webHidden/>
              </w:rPr>
              <w:fldChar w:fldCharType="end"/>
            </w:r>
          </w:hyperlink>
        </w:p>
        <w:p w14:paraId="3CC8A410" w14:textId="1979DE3E" w:rsidR="00C639EA" w:rsidRDefault="00626CD5">
          <w:pPr>
            <w:pStyle w:val="TOC1"/>
            <w:rPr>
              <w:rFonts w:asciiTheme="minorHAnsi" w:eastAsiaTheme="minorEastAsia" w:hAnsiTheme="minorHAnsi"/>
              <w:b w:val="0"/>
              <w:noProof/>
              <w:sz w:val="22"/>
            </w:rPr>
          </w:pPr>
          <w:hyperlink w:anchor="_Toc83886172" w:history="1">
            <w:r w:rsidR="00C639EA" w:rsidRPr="00075A37">
              <w:rPr>
                <w:rStyle w:val="Hyperlink"/>
                <w:noProof/>
              </w:rPr>
              <w:t>14</w:t>
            </w:r>
            <w:r w:rsidR="00C639EA">
              <w:rPr>
                <w:rFonts w:asciiTheme="minorHAnsi" w:eastAsiaTheme="minorEastAsia" w:hAnsiTheme="minorHAnsi"/>
                <w:b w:val="0"/>
                <w:noProof/>
                <w:sz w:val="22"/>
              </w:rPr>
              <w:tab/>
            </w:r>
            <w:r w:rsidR="00C639EA" w:rsidRPr="00075A37">
              <w:rPr>
                <w:rStyle w:val="Hyperlink"/>
                <w:noProof/>
              </w:rPr>
              <w:t>APPENDIX C: MAJOR MILESTONES</w:t>
            </w:r>
            <w:r w:rsidR="00C639EA">
              <w:rPr>
                <w:noProof/>
                <w:webHidden/>
              </w:rPr>
              <w:tab/>
            </w:r>
            <w:r w:rsidR="00C639EA">
              <w:rPr>
                <w:noProof/>
                <w:webHidden/>
              </w:rPr>
              <w:fldChar w:fldCharType="begin"/>
            </w:r>
            <w:r w:rsidR="00C639EA">
              <w:rPr>
                <w:noProof/>
                <w:webHidden/>
              </w:rPr>
              <w:instrText xml:space="preserve"> PAGEREF _Toc83886172 \h </w:instrText>
            </w:r>
            <w:r w:rsidR="00C639EA">
              <w:rPr>
                <w:noProof/>
                <w:webHidden/>
              </w:rPr>
            </w:r>
            <w:r w:rsidR="00C639EA">
              <w:rPr>
                <w:noProof/>
                <w:webHidden/>
              </w:rPr>
              <w:fldChar w:fldCharType="separate"/>
            </w:r>
            <w:r w:rsidR="00103FC3">
              <w:rPr>
                <w:noProof/>
                <w:webHidden/>
              </w:rPr>
              <w:t>75</w:t>
            </w:r>
            <w:r w:rsidR="00C639EA">
              <w:rPr>
                <w:noProof/>
                <w:webHidden/>
              </w:rPr>
              <w:fldChar w:fldCharType="end"/>
            </w:r>
          </w:hyperlink>
        </w:p>
        <w:p w14:paraId="784AC077" w14:textId="50CC4BC0" w:rsidR="00C639EA" w:rsidRDefault="00626CD5">
          <w:pPr>
            <w:pStyle w:val="TOC1"/>
            <w:rPr>
              <w:rFonts w:asciiTheme="minorHAnsi" w:eastAsiaTheme="minorEastAsia" w:hAnsiTheme="minorHAnsi"/>
              <w:b w:val="0"/>
              <w:noProof/>
              <w:sz w:val="22"/>
            </w:rPr>
          </w:pPr>
          <w:hyperlink w:anchor="_Toc83886173" w:history="1">
            <w:r w:rsidR="00C639EA" w:rsidRPr="00075A37">
              <w:rPr>
                <w:rStyle w:val="Hyperlink"/>
                <w:noProof/>
              </w:rPr>
              <w:t>15</w:t>
            </w:r>
            <w:r w:rsidR="00C639EA">
              <w:rPr>
                <w:rFonts w:asciiTheme="minorHAnsi" w:eastAsiaTheme="minorEastAsia" w:hAnsiTheme="minorHAnsi"/>
                <w:b w:val="0"/>
                <w:noProof/>
                <w:sz w:val="22"/>
              </w:rPr>
              <w:tab/>
            </w:r>
            <w:r w:rsidR="00C639EA" w:rsidRPr="00075A37">
              <w:rPr>
                <w:rStyle w:val="Hyperlink"/>
                <w:noProof/>
              </w:rPr>
              <w:t>APPENDIX D: REFERENCES</w:t>
            </w:r>
            <w:r w:rsidR="00C639EA">
              <w:rPr>
                <w:noProof/>
                <w:webHidden/>
              </w:rPr>
              <w:tab/>
            </w:r>
            <w:r w:rsidR="00C639EA">
              <w:rPr>
                <w:noProof/>
                <w:webHidden/>
              </w:rPr>
              <w:fldChar w:fldCharType="begin"/>
            </w:r>
            <w:r w:rsidR="00C639EA">
              <w:rPr>
                <w:noProof/>
                <w:webHidden/>
              </w:rPr>
              <w:instrText xml:space="preserve"> PAGEREF _Toc83886173 \h </w:instrText>
            </w:r>
            <w:r w:rsidR="00C639EA">
              <w:rPr>
                <w:noProof/>
                <w:webHidden/>
              </w:rPr>
            </w:r>
            <w:r w:rsidR="00C639EA">
              <w:rPr>
                <w:noProof/>
                <w:webHidden/>
              </w:rPr>
              <w:fldChar w:fldCharType="separate"/>
            </w:r>
            <w:r w:rsidR="00103FC3">
              <w:rPr>
                <w:noProof/>
                <w:webHidden/>
              </w:rPr>
              <w:t>85</w:t>
            </w:r>
            <w:r w:rsidR="00C639EA">
              <w:rPr>
                <w:noProof/>
                <w:webHidden/>
              </w:rPr>
              <w:fldChar w:fldCharType="end"/>
            </w:r>
          </w:hyperlink>
        </w:p>
        <w:p w14:paraId="66C6A072" w14:textId="5FDB95F0" w:rsidR="00C639EA" w:rsidRDefault="00626CD5">
          <w:pPr>
            <w:pStyle w:val="TOC1"/>
            <w:rPr>
              <w:rFonts w:asciiTheme="minorHAnsi" w:eastAsiaTheme="minorEastAsia" w:hAnsiTheme="minorHAnsi"/>
              <w:b w:val="0"/>
              <w:noProof/>
              <w:sz w:val="22"/>
            </w:rPr>
          </w:pPr>
          <w:hyperlink w:anchor="_Toc83886174" w:history="1">
            <w:r w:rsidR="00C639EA" w:rsidRPr="00075A37">
              <w:rPr>
                <w:rStyle w:val="Hyperlink"/>
                <w:noProof/>
              </w:rPr>
              <w:t>16</w:t>
            </w:r>
            <w:r w:rsidR="00C639EA">
              <w:rPr>
                <w:rFonts w:asciiTheme="minorHAnsi" w:eastAsiaTheme="minorEastAsia" w:hAnsiTheme="minorHAnsi"/>
                <w:b w:val="0"/>
                <w:noProof/>
                <w:sz w:val="22"/>
              </w:rPr>
              <w:tab/>
            </w:r>
            <w:r w:rsidR="00C639EA" w:rsidRPr="00075A37">
              <w:rPr>
                <w:rStyle w:val="Hyperlink"/>
                <w:noProof/>
              </w:rPr>
              <w:t>APPENDIX E: ACRONYMS</w:t>
            </w:r>
            <w:r w:rsidR="00C639EA">
              <w:rPr>
                <w:noProof/>
                <w:webHidden/>
              </w:rPr>
              <w:tab/>
            </w:r>
            <w:r w:rsidR="00C639EA">
              <w:rPr>
                <w:noProof/>
                <w:webHidden/>
              </w:rPr>
              <w:fldChar w:fldCharType="begin"/>
            </w:r>
            <w:r w:rsidR="00C639EA">
              <w:rPr>
                <w:noProof/>
                <w:webHidden/>
              </w:rPr>
              <w:instrText xml:space="preserve"> PAGEREF _Toc83886174 \h </w:instrText>
            </w:r>
            <w:r w:rsidR="00C639EA">
              <w:rPr>
                <w:noProof/>
                <w:webHidden/>
              </w:rPr>
            </w:r>
            <w:r w:rsidR="00C639EA">
              <w:rPr>
                <w:noProof/>
                <w:webHidden/>
              </w:rPr>
              <w:fldChar w:fldCharType="separate"/>
            </w:r>
            <w:r w:rsidR="00103FC3">
              <w:rPr>
                <w:noProof/>
                <w:webHidden/>
              </w:rPr>
              <w:t>86</w:t>
            </w:r>
            <w:r w:rsidR="00C639EA">
              <w:rPr>
                <w:noProof/>
                <w:webHidden/>
              </w:rPr>
              <w:fldChar w:fldCharType="end"/>
            </w:r>
          </w:hyperlink>
        </w:p>
        <w:p w14:paraId="5D5BCACE" w14:textId="3DC8D184" w:rsidR="00767823" w:rsidRPr="00951FD5" w:rsidRDefault="00433650" w:rsidP="000E21B8">
          <w:pPr>
            <w:pStyle w:val="TOC1"/>
            <w:rPr>
              <w:noProof/>
            </w:rPr>
          </w:pPr>
          <w:r w:rsidRPr="0001603E">
            <w:rPr>
              <w:noProof/>
            </w:rPr>
            <w:fldChar w:fldCharType="end"/>
          </w:r>
        </w:p>
      </w:sdtContent>
    </w:sdt>
    <w:p w14:paraId="3DF7DE38" w14:textId="77777777" w:rsidR="00767823" w:rsidRPr="00EA444B" w:rsidRDefault="00767823">
      <w:pPr>
        <w:rPr>
          <w:noProof/>
        </w:rPr>
      </w:pPr>
      <w:r w:rsidRPr="00EA444B">
        <w:rPr>
          <w:noProof/>
        </w:rPr>
        <w:br w:type="page"/>
      </w:r>
    </w:p>
    <w:p w14:paraId="020938A2" w14:textId="4E52810B" w:rsidR="003F0D97" w:rsidRPr="00BE3952" w:rsidRDefault="00DB667B" w:rsidP="00BE3952">
      <w:pPr>
        <w:pStyle w:val="Heading1"/>
        <w:numPr>
          <w:ilvl w:val="0"/>
          <w:numId w:val="44"/>
        </w:numPr>
        <w:rPr>
          <w:rStyle w:val="ListLabel1"/>
          <w:rFonts w:ascii="Gill Sans MT" w:hAnsi="Gill Sans MT"/>
        </w:rPr>
      </w:pPr>
      <w:bookmarkStart w:id="1" w:name="_Toc83886099"/>
      <w:r w:rsidRPr="00EA444B">
        <w:lastRenderedPageBreak/>
        <w:t>E</w:t>
      </w:r>
      <w:bookmarkStart w:id="2" w:name="_Toc535936132"/>
      <w:bookmarkStart w:id="3" w:name="_Toc337066"/>
      <w:r w:rsidR="00EA7850" w:rsidRPr="00BE3952">
        <w:rPr>
          <w:rStyle w:val="ListLabel1"/>
          <w:rFonts w:ascii="Gill Sans MT" w:hAnsi="Gill Sans MT"/>
        </w:rPr>
        <w:t>XECUTIVE SUMMARY</w:t>
      </w:r>
      <w:bookmarkEnd w:id="1"/>
      <w:bookmarkEnd w:id="2"/>
      <w:bookmarkEnd w:id="3"/>
    </w:p>
    <w:p w14:paraId="41837975" w14:textId="6B5ACCA4" w:rsidR="00782E9F" w:rsidRPr="00DE289E" w:rsidRDefault="00782E9F" w:rsidP="00782E9F">
      <w:r w:rsidRPr="00DE289E">
        <w:t xml:space="preserve">This </w:t>
      </w:r>
      <w:r>
        <w:t>Green Bank Observatory (</w:t>
      </w:r>
      <w:r w:rsidR="00B066C4">
        <w:t>GBO</w:t>
      </w:r>
      <w:r w:rsidRPr="00DE289E">
        <w:t xml:space="preserve">) Program Operating Plan (POP) describes the planned allocation of </w:t>
      </w:r>
      <w:r w:rsidR="00B066C4">
        <w:t>GBO’s</w:t>
      </w:r>
      <w:r w:rsidRPr="00DE289E">
        <w:t xml:space="preserve"> Fiscal Year FY202</w:t>
      </w:r>
      <w:r>
        <w:t>2</w:t>
      </w:r>
      <w:r w:rsidRPr="00DE289E">
        <w:t xml:space="preserve"> funding from the National Science Foundation Division of Astronomical Sciences (NSF-AST) in support of its mission to enable forefront research into the Universe at radio wavelengths. The period of performance is 1 October 202</w:t>
      </w:r>
      <w:r>
        <w:t>1</w:t>
      </w:r>
      <w:r w:rsidRPr="00DE289E">
        <w:t xml:space="preserve"> through 30 September 202</w:t>
      </w:r>
      <w:r>
        <w:t>2</w:t>
      </w:r>
      <w:r w:rsidRPr="00DE289E">
        <w:t xml:space="preserve">. </w:t>
      </w:r>
      <w:r w:rsidR="00B066C4">
        <w:t>GBO</w:t>
      </w:r>
      <w:r w:rsidR="00B066C4" w:rsidRPr="00DE289E">
        <w:t xml:space="preserve"> </w:t>
      </w:r>
      <w:r w:rsidRPr="00DE289E">
        <w:t>is managed by Associated Universities, Inc. (AUI) under AST-</w:t>
      </w:r>
      <w:r>
        <w:t>1928936</w:t>
      </w:r>
      <w:r w:rsidRPr="00DE289E">
        <w:t>.</w:t>
      </w:r>
    </w:p>
    <w:p w14:paraId="6BD75910" w14:textId="3C302F00" w:rsidR="00782E9F" w:rsidRDefault="00782E9F" w:rsidP="00782E9F">
      <w:r w:rsidRPr="00DE289E">
        <w:t xml:space="preserve">The </w:t>
      </w:r>
      <w:r w:rsidR="00B066C4">
        <w:t>GBO</w:t>
      </w:r>
      <w:r w:rsidRPr="00DE289E">
        <w:t xml:space="preserve"> POP highlights </w:t>
      </w:r>
      <w:r>
        <w:t xml:space="preserve">its </w:t>
      </w:r>
      <w:r w:rsidRPr="00DE289E">
        <w:t xml:space="preserve">community-driven science program, and the fundamental role these programs will play over the coming year. The POP also discusses the implementation of development programs to improve the existing </w:t>
      </w:r>
      <w:r w:rsidR="00B066C4">
        <w:t>GBO</w:t>
      </w:r>
      <w:r w:rsidR="00B066C4" w:rsidRPr="00DE289E">
        <w:t xml:space="preserve"> </w:t>
      </w:r>
      <w:r w:rsidRPr="00DE289E">
        <w:t xml:space="preserve">facilities in the near term and beyond. The </w:t>
      </w:r>
      <w:r>
        <w:t>GBO</w:t>
      </w:r>
      <w:r w:rsidRPr="00DE289E">
        <w:t xml:space="preserve"> Long Range Plan (LRP) outlines the activities and key directions for </w:t>
      </w:r>
      <w:r w:rsidR="00B066C4">
        <w:t xml:space="preserve">GBO </w:t>
      </w:r>
      <w:r w:rsidRPr="00DE289E">
        <w:t>over the next five years, FY202</w:t>
      </w:r>
      <w:r>
        <w:t>3</w:t>
      </w:r>
      <w:r w:rsidRPr="00DE289E">
        <w:t>–202</w:t>
      </w:r>
      <w:r>
        <w:t>7</w:t>
      </w:r>
      <w:r w:rsidRPr="00DE289E">
        <w:t xml:space="preserve">. </w:t>
      </w:r>
    </w:p>
    <w:p w14:paraId="58586B82" w14:textId="4010A9A0" w:rsidR="001A1601" w:rsidRPr="00EA444B" w:rsidRDefault="00B066C4" w:rsidP="001812E3">
      <w:r>
        <w:t xml:space="preserve">The </w:t>
      </w:r>
      <w:r w:rsidR="00782E9F">
        <w:t>GBO</w:t>
      </w:r>
      <w:r w:rsidR="001A1601" w:rsidRPr="00EA444B">
        <w:t xml:space="preserve"> enables leading edge research at radio wavelengths by offering telescope, facility, and advance</w:t>
      </w:r>
      <w:r w:rsidR="00ED6FE0" w:rsidRPr="00EA444B">
        <w:t>d</w:t>
      </w:r>
      <w:r w:rsidR="001A1601" w:rsidRPr="00EA444B">
        <w:t xml:space="preserve"> instrumentation access to the </w:t>
      </w:r>
      <w:r w:rsidR="0032518A">
        <w:t xml:space="preserve">U.S. and </w:t>
      </w:r>
      <w:r w:rsidR="001A1601" w:rsidRPr="00EA444B">
        <w:t xml:space="preserve">global scientific and research community. </w:t>
      </w:r>
    </w:p>
    <w:p w14:paraId="3ECE1FB5" w14:textId="4824A602" w:rsidR="001A1601" w:rsidRPr="00EA444B" w:rsidRDefault="001A1601">
      <w:r w:rsidRPr="00EA444B">
        <w:t>The Robert C. Byrd Green Bank Telescope (GBT) began regular science operations in 2001. The GBT’s 100</w:t>
      </w:r>
      <w:r w:rsidR="00EA09B2" w:rsidRPr="00EA444B">
        <w:t>-</w:t>
      </w:r>
      <w:r w:rsidRPr="00EA444B">
        <w:t>m</w:t>
      </w:r>
      <w:r w:rsidR="00EA09B2" w:rsidRPr="00EA444B">
        <w:t>eter</w:t>
      </w:r>
      <w:r w:rsidRPr="00EA444B">
        <w:t xml:space="preserve"> diameter collecting area, unblocked aperture, and excellent surface continues to offer the scientific community unrivaled research capabilities at </w:t>
      </w:r>
      <w:r w:rsidR="008F6E6F" w:rsidRPr="00EA444B">
        <w:t>290</w:t>
      </w:r>
      <w:r w:rsidR="00EC28C9" w:rsidRPr="00EA444B">
        <w:t xml:space="preserve"> MHz</w:t>
      </w:r>
      <w:r w:rsidRPr="00EA444B">
        <w:t xml:space="preserve">–116 GHz. </w:t>
      </w:r>
    </w:p>
    <w:p w14:paraId="1358A40C" w14:textId="78F6D0EF" w:rsidR="001A1601" w:rsidRPr="00EA444B" w:rsidRDefault="00E000C6">
      <w:pPr>
        <w:rPr>
          <w:spacing w:val="-2"/>
        </w:rPr>
      </w:pPr>
      <w:r>
        <w:t xml:space="preserve">In addition to the NSF funding provided under </w:t>
      </w:r>
      <w:r w:rsidRPr="00E000C6">
        <w:t>AST-1928936</w:t>
      </w:r>
      <w:r w:rsidR="00A8499B">
        <w:t xml:space="preserve"> (as amended)</w:t>
      </w:r>
      <w:r>
        <w:t xml:space="preserve">, </w:t>
      </w:r>
      <w:r w:rsidR="00957B58" w:rsidRPr="00EA444B">
        <w:t xml:space="preserve">substantial new partnerships have been secured that complement NSF funding, and a combination of </w:t>
      </w:r>
      <w:r w:rsidR="001A1601" w:rsidRPr="00EA444B">
        <w:t xml:space="preserve">research and </w:t>
      </w:r>
      <w:r w:rsidR="00957B58" w:rsidRPr="00EA444B">
        <w:t xml:space="preserve">capability developments </w:t>
      </w:r>
      <w:r w:rsidR="001A1601" w:rsidRPr="00EA444B">
        <w:t xml:space="preserve">have strengthened </w:t>
      </w:r>
      <w:r w:rsidR="00782E9F">
        <w:t xml:space="preserve">GBO’s </w:t>
      </w:r>
      <w:r w:rsidR="001A1601" w:rsidRPr="00EA444B">
        <w:t xml:space="preserve">importance to the scientific community. </w:t>
      </w:r>
      <w:r w:rsidR="001A1601" w:rsidRPr="00EA444B">
        <w:rPr>
          <w:spacing w:val="-2"/>
        </w:rPr>
        <w:t xml:space="preserve">It is </w:t>
      </w:r>
      <w:r w:rsidR="00834FEA" w:rsidRPr="00EA444B">
        <w:rPr>
          <w:spacing w:val="-2"/>
        </w:rPr>
        <w:t>vital</w:t>
      </w:r>
      <w:r w:rsidR="001A1601" w:rsidRPr="00EA444B">
        <w:rPr>
          <w:spacing w:val="-2"/>
        </w:rPr>
        <w:t xml:space="preserve"> that U.S. scientists have ready access to a large filled aperture to remain at the forefront of research, and </w:t>
      </w:r>
      <w:r w:rsidR="00782E9F">
        <w:rPr>
          <w:spacing w:val="-2"/>
        </w:rPr>
        <w:t>GBO</w:t>
      </w:r>
      <w:r w:rsidR="001A1601" w:rsidRPr="00EA444B">
        <w:rPr>
          <w:spacing w:val="-2"/>
        </w:rPr>
        <w:t xml:space="preserve"> confirms its importance to the community through its significant and ongoing partnerships with the Breakthrough Listen Foundation</w:t>
      </w:r>
      <w:r>
        <w:rPr>
          <w:spacing w:val="-2"/>
        </w:rPr>
        <w:t xml:space="preserve"> and</w:t>
      </w:r>
      <w:r w:rsidR="001A1601" w:rsidRPr="00EA444B">
        <w:rPr>
          <w:spacing w:val="-2"/>
        </w:rPr>
        <w:t xml:space="preserve"> the North American Nanohertz Observatory for Gravitational Waves (NANOGrav). Meanwhile, </w:t>
      </w:r>
      <w:r w:rsidR="00D87F52">
        <w:rPr>
          <w:spacing w:val="-2"/>
        </w:rPr>
        <w:t>GBO</w:t>
      </w:r>
      <w:r w:rsidR="001A1601" w:rsidRPr="00EA444B">
        <w:rPr>
          <w:spacing w:val="-2"/>
        </w:rPr>
        <w:t xml:space="preserve"> has maintained an </w:t>
      </w:r>
      <w:r w:rsidR="005459C5">
        <w:rPr>
          <w:spacing w:val="-2"/>
        </w:rPr>
        <w:t>availability of NSF-funded GBT Open Skies</w:t>
      </w:r>
      <w:r w:rsidR="001A1601" w:rsidRPr="00EA444B">
        <w:rPr>
          <w:spacing w:val="-2"/>
        </w:rPr>
        <w:t xml:space="preserve"> time </w:t>
      </w:r>
      <w:r w:rsidR="00B979F2" w:rsidRPr="00EA444B">
        <w:rPr>
          <w:spacing w:val="-2"/>
        </w:rPr>
        <w:t>proportionate to the funding level</w:t>
      </w:r>
      <w:r w:rsidR="003A47B5" w:rsidRPr="00EA444B">
        <w:rPr>
          <w:spacing w:val="-2"/>
        </w:rPr>
        <w:t>.</w:t>
      </w:r>
      <w:r w:rsidR="001A1601" w:rsidRPr="00EA444B">
        <w:rPr>
          <w:spacing w:val="-2"/>
        </w:rPr>
        <w:t xml:space="preserve"> </w:t>
      </w:r>
      <w:r w:rsidR="003A47B5" w:rsidRPr="00EA444B">
        <w:rPr>
          <w:spacing w:val="-2"/>
        </w:rPr>
        <w:t>T</w:t>
      </w:r>
      <w:r w:rsidR="001A1601" w:rsidRPr="00EA444B">
        <w:rPr>
          <w:spacing w:val="-2"/>
        </w:rPr>
        <w:t xml:space="preserve">he GBT </w:t>
      </w:r>
      <w:r>
        <w:rPr>
          <w:spacing w:val="-2"/>
        </w:rPr>
        <w:t xml:space="preserve">is on track to be </w:t>
      </w:r>
      <w:r w:rsidR="001A1601" w:rsidRPr="00EA444B">
        <w:rPr>
          <w:spacing w:val="-2"/>
        </w:rPr>
        <w:t xml:space="preserve">used for </w:t>
      </w:r>
      <w:r w:rsidR="00AD1410">
        <w:rPr>
          <w:spacing w:val="-2"/>
        </w:rPr>
        <w:t>approximately 6,800</w:t>
      </w:r>
      <w:r w:rsidR="001A1601" w:rsidRPr="00EA444B">
        <w:rPr>
          <w:spacing w:val="-2"/>
        </w:rPr>
        <w:t xml:space="preserve"> hours of scientific research in FY20</w:t>
      </w:r>
      <w:r w:rsidR="00761B31" w:rsidRPr="00EA444B">
        <w:rPr>
          <w:spacing w:val="-2"/>
        </w:rPr>
        <w:t>2</w:t>
      </w:r>
      <w:r w:rsidR="00AD1410">
        <w:rPr>
          <w:spacing w:val="-2"/>
        </w:rPr>
        <w:t>2</w:t>
      </w:r>
      <w:r w:rsidR="001A1601" w:rsidRPr="00EA444B">
        <w:rPr>
          <w:spacing w:val="-2"/>
        </w:rPr>
        <w:t xml:space="preserve">. </w:t>
      </w:r>
    </w:p>
    <w:p w14:paraId="79E40DCD" w14:textId="183FD505" w:rsidR="00D87479" w:rsidRDefault="001A1601">
      <w:r w:rsidRPr="00EA444B">
        <w:t xml:space="preserve">Ground-breaking new work currently underway will further enhance the capabilities of the GBT. A Laser Antenna </w:t>
      </w:r>
      <w:r w:rsidR="00564F1C" w:rsidRPr="00EA444B">
        <w:t xml:space="preserve">Surface </w:t>
      </w:r>
      <w:r w:rsidR="00AD1410">
        <w:t>Scanning Instrument (LASSI) wa</w:t>
      </w:r>
      <w:r w:rsidRPr="00EA444B">
        <w:t xml:space="preserve">s implemented </w:t>
      </w:r>
      <w:r w:rsidR="00AD1410">
        <w:t>in FY</w:t>
      </w:r>
      <w:r w:rsidR="00A8499B">
        <w:t>20</w:t>
      </w:r>
      <w:r w:rsidR="00AD1410">
        <w:t xml:space="preserve">21 </w:t>
      </w:r>
      <w:r w:rsidRPr="00EA444B">
        <w:t xml:space="preserve">that </w:t>
      </w:r>
      <w:r w:rsidR="00A8499B">
        <w:t>provides the technical and algorithmic platform to</w:t>
      </w:r>
      <w:r w:rsidR="00A8499B" w:rsidRPr="00EA444B">
        <w:t xml:space="preserve"> </w:t>
      </w:r>
      <w:r w:rsidR="00E000C6">
        <w:t>increase the overall efficiency of the GBT</w:t>
      </w:r>
      <w:r w:rsidR="00AD1410">
        <w:t>, and in FY</w:t>
      </w:r>
      <w:r w:rsidR="00A8499B">
        <w:t>20</w:t>
      </w:r>
      <w:r w:rsidR="00AD1410">
        <w:t>22 further studies with the instrument will be underway with the goal of extending</w:t>
      </w:r>
      <w:r w:rsidRPr="00EA444B">
        <w:t xml:space="preserve"> </w:t>
      </w:r>
      <w:r w:rsidR="00D87F52">
        <w:t xml:space="preserve">GBT </w:t>
      </w:r>
      <w:r w:rsidR="00957B58" w:rsidRPr="00EA444B">
        <w:t xml:space="preserve">usability for </w:t>
      </w:r>
      <w:r w:rsidRPr="00EA444B">
        <w:t xml:space="preserve">daytime observing above 25 GHz. </w:t>
      </w:r>
      <w:r w:rsidR="00493C90" w:rsidRPr="00EA444B">
        <w:rPr>
          <w:rFonts w:eastAsia="Times New Roman"/>
        </w:rPr>
        <w:t xml:space="preserve">With investments from AUI’s Corporate Resources and </w:t>
      </w:r>
      <w:r w:rsidR="00C36C35">
        <w:rPr>
          <w:rFonts w:eastAsia="Times New Roman"/>
        </w:rPr>
        <w:t xml:space="preserve">partial </w:t>
      </w:r>
      <w:r w:rsidR="00493C90" w:rsidRPr="00EA444B">
        <w:rPr>
          <w:rFonts w:eastAsia="Times New Roman"/>
        </w:rPr>
        <w:t xml:space="preserve">funding from the Gordon and Betty Moore Foundation, </w:t>
      </w:r>
      <w:r w:rsidR="00D87F52">
        <w:rPr>
          <w:rFonts w:eastAsia="Times New Roman"/>
        </w:rPr>
        <w:t xml:space="preserve">GBO </w:t>
      </w:r>
      <w:r w:rsidR="00493C90" w:rsidRPr="00EA444B">
        <w:rPr>
          <w:rFonts w:eastAsia="Times New Roman"/>
        </w:rPr>
        <w:t>is building an ultra-wideband receiver that will instantaneously cover 0.7 to 4 GHz</w:t>
      </w:r>
      <w:r w:rsidRPr="00EA444B">
        <w:t>. The detection of nanohertz frequency gravitational waves via pulsar timing is a key science driver for the new receiver.</w:t>
      </w:r>
      <w:r w:rsidR="00E000C6">
        <w:t xml:space="preserve"> </w:t>
      </w:r>
      <w:r w:rsidR="00171905">
        <w:t xml:space="preserve">Two </w:t>
      </w:r>
      <w:r w:rsidR="00E50C25">
        <w:t>FY202</w:t>
      </w:r>
      <w:r w:rsidR="00693EBA">
        <w:t>0</w:t>
      </w:r>
      <w:r w:rsidR="00E50C25">
        <w:t xml:space="preserve"> </w:t>
      </w:r>
      <w:r w:rsidR="00171905">
        <w:t xml:space="preserve">NSF supplemental grants fund </w:t>
      </w:r>
      <w:r w:rsidR="00E000C6">
        <w:t xml:space="preserve">new </w:t>
      </w:r>
      <w:r w:rsidR="00D87F52">
        <w:t xml:space="preserve">capabilities including 1) an </w:t>
      </w:r>
      <w:r w:rsidR="00E000C6">
        <w:t>observing technique, Cyclic Spectroscopy</w:t>
      </w:r>
      <w:r w:rsidR="002A3AC4">
        <w:t xml:space="preserve"> (</w:t>
      </w:r>
      <w:r w:rsidR="00E000C6">
        <w:t>AST-</w:t>
      </w:r>
      <w:r w:rsidR="00E000C6" w:rsidRPr="00E000C6">
        <w:t>1928936</w:t>
      </w:r>
      <w:r w:rsidR="0060085A">
        <w:t>-009</w:t>
      </w:r>
      <w:r w:rsidR="002A3AC4">
        <w:t>)</w:t>
      </w:r>
      <w:r w:rsidR="00171905">
        <w:t xml:space="preserve"> </w:t>
      </w:r>
      <w:r w:rsidR="00D87F52">
        <w:t xml:space="preserve">that </w:t>
      </w:r>
      <w:r w:rsidR="00E000C6">
        <w:t>will add</w:t>
      </w:r>
      <w:r w:rsidR="00E000C6" w:rsidRPr="00E000C6">
        <w:t xml:space="preserve"> a powerful data processing technique for pulsar astronomy that can provide higher time and frequency resolution tha</w:t>
      </w:r>
      <w:r w:rsidR="000C3B50">
        <w:t>n</w:t>
      </w:r>
      <w:r w:rsidR="00E000C6" w:rsidRPr="00E000C6">
        <w:t xml:space="preserve"> tr</w:t>
      </w:r>
      <w:r w:rsidR="00E000C6">
        <w:t xml:space="preserve">aditional spectroscopic methods, while </w:t>
      </w:r>
      <w:r w:rsidR="00D87F52">
        <w:t xml:space="preserve">2) </w:t>
      </w:r>
      <w:r w:rsidR="00E000C6">
        <w:t>a new data center</w:t>
      </w:r>
      <w:r w:rsidR="002A3AC4">
        <w:t xml:space="preserve"> (</w:t>
      </w:r>
      <w:r w:rsidR="0060085A" w:rsidRPr="0060085A">
        <w:t>AST</w:t>
      </w:r>
      <w:r w:rsidR="00E964F3">
        <w:t>-</w:t>
      </w:r>
      <w:r w:rsidR="0060085A" w:rsidRPr="0060085A">
        <w:t>1928936</w:t>
      </w:r>
      <w:r w:rsidR="0060085A">
        <w:t>-010</w:t>
      </w:r>
      <w:r w:rsidR="002A3AC4">
        <w:t>)</w:t>
      </w:r>
      <w:r w:rsidR="0060085A">
        <w:t xml:space="preserve"> </w:t>
      </w:r>
      <w:r w:rsidR="00E000C6">
        <w:t>will assure community access to the rich GBT archives for many years.</w:t>
      </w:r>
      <w:r w:rsidR="00D87479">
        <w:t xml:space="preserve">  </w:t>
      </w:r>
      <w:r w:rsidR="00FE1BA6">
        <w:t xml:space="preserve">In FY2021, </w:t>
      </w:r>
      <w:r w:rsidR="00D87479">
        <w:t xml:space="preserve">Associated Universities, Inc. (AUI), </w:t>
      </w:r>
      <w:r w:rsidR="002D7309">
        <w:t xml:space="preserve">was awarded </w:t>
      </w:r>
      <w:r w:rsidR="00D87479">
        <w:t xml:space="preserve">grant </w:t>
      </w:r>
      <w:r w:rsidR="00D87479" w:rsidRPr="000B606F">
        <w:t>request (</w:t>
      </w:r>
      <w:r w:rsidR="00252FD6" w:rsidRPr="000B606F">
        <w:t>MSRI-1 2114922</w:t>
      </w:r>
      <w:r w:rsidR="00D87479" w:rsidRPr="000B606F">
        <w:t>) to initiate development of a new planetary-scale radar system for the GBT.</w:t>
      </w:r>
      <w:r w:rsidR="00D87479">
        <w:t xml:space="preserve">  </w:t>
      </w:r>
    </w:p>
    <w:p w14:paraId="77D5A4D7" w14:textId="07AC3B37" w:rsidR="001A1601" w:rsidRPr="00EA444B" w:rsidRDefault="00B066C4">
      <w:r>
        <w:t>GBO</w:t>
      </w:r>
      <w:r w:rsidR="001A1601" w:rsidRPr="00EA444B">
        <w:t xml:space="preserve">’s broad portfolio of education and public outreach programs and activities is unmatched by any U.S. astronomical facility. </w:t>
      </w:r>
      <w:r>
        <w:t xml:space="preserve">GBO </w:t>
      </w:r>
      <w:r w:rsidR="001A1601" w:rsidRPr="00EA444B">
        <w:t xml:space="preserve">produces nationally acclaimed educational programs in Science, Technology, Education, and Mathematics (STEM) for learners of all ages </w:t>
      </w:r>
      <w:r w:rsidR="006F7EBC">
        <w:t>with</w:t>
      </w:r>
      <w:r w:rsidR="006F7EBC" w:rsidRPr="00EA444B">
        <w:t xml:space="preserve"> </w:t>
      </w:r>
      <w:r w:rsidR="001A1601" w:rsidRPr="00EA444B">
        <w:t xml:space="preserve">hands-on </w:t>
      </w:r>
      <w:r w:rsidR="009564A6">
        <w:t xml:space="preserve">and virtual </w:t>
      </w:r>
      <w:r w:rsidR="001A1601" w:rsidRPr="00EA444B">
        <w:t xml:space="preserve">research experiences </w:t>
      </w:r>
      <w:r w:rsidR="001A1601" w:rsidRPr="00EA444B">
        <w:lastRenderedPageBreak/>
        <w:t xml:space="preserve">for science and engineering students and </w:t>
      </w:r>
      <w:r w:rsidR="009269D2" w:rsidRPr="00EA444B">
        <w:t>educators</w:t>
      </w:r>
      <w:r w:rsidR="001A1601" w:rsidRPr="00EA444B">
        <w:t>. The Green Bank Science Center enables these programs and activities with its auditorium, classrooms, and large exhibit hall. Thousands of primary, secondary</w:t>
      </w:r>
      <w:r w:rsidR="004715E1" w:rsidRPr="00EA444B">
        <w:t>,</w:t>
      </w:r>
      <w:r w:rsidR="001A1601" w:rsidRPr="00EA444B">
        <w:t xml:space="preserve"> and university teachers</w:t>
      </w:r>
      <w:r w:rsidR="0009129E">
        <w:t>;</w:t>
      </w:r>
      <w:r w:rsidR="001A1601" w:rsidRPr="00EA444B">
        <w:t xml:space="preserve"> professors</w:t>
      </w:r>
      <w:r w:rsidR="0009129E">
        <w:t>;</w:t>
      </w:r>
      <w:r w:rsidR="001A1601" w:rsidRPr="00EA444B">
        <w:t xml:space="preserve"> and students participate in residential educational programs using the variety of radio telescopes available at </w:t>
      </w:r>
      <w:r>
        <w:t>the GBO</w:t>
      </w:r>
      <w:r w:rsidR="001A1601" w:rsidRPr="00EA444B">
        <w:t xml:space="preserve">. </w:t>
      </w:r>
      <w:r w:rsidR="00171905">
        <w:t>The</w:t>
      </w:r>
      <w:r w:rsidR="001A1601" w:rsidRPr="00EA444B">
        <w:t xml:space="preserve"> five-year NSF I</w:t>
      </w:r>
      <w:r w:rsidR="00761B31" w:rsidRPr="00EA444B">
        <w:t>ncludes</w:t>
      </w:r>
      <w:r w:rsidR="001A1601" w:rsidRPr="00EA444B">
        <w:t xml:space="preserve"> Alliance grant</w:t>
      </w:r>
      <w:r>
        <w:t xml:space="preserve"> (</w:t>
      </w:r>
      <w:r w:rsidRPr="00B066C4">
        <w:t>(HRD-1834601)</w:t>
      </w:r>
      <w:r w:rsidR="001A1601" w:rsidRPr="00EA444B">
        <w:t xml:space="preserve">, awarded in </w:t>
      </w:r>
      <w:r>
        <w:t>September</w:t>
      </w:r>
      <w:r w:rsidRPr="00EA444B">
        <w:t xml:space="preserve"> </w:t>
      </w:r>
      <w:r w:rsidR="001A1601" w:rsidRPr="00EA444B">
        <w:t xml:space="preserve">2018 to a collaboration led by </w:t>
      </w:r>
      <w:r>
        <w:t>GBO</w:t>
      </w:r>
      <w:r w:rsidR="001A1601" w:rsidRPr="00EA444B">
        <w:t>, funds important innovations in STEM student retention</w:t>
      </w:r>
      <w:r w:rsidR="001A1601" w:rsidRPr="00B066C4">
        <w:t>.</w:t>
      </w:r>
      <w:r w:rsidR="00D87479">
        <w:t xml:space="preserve"> A </w:t>
      </w:r>
      <w:r w:rsidR="00871346">
        <w:t xml:space="preserve">recently submitted </w:t>
      </w:r>
      <w:r w:rsidR="00D87479">
        <w:t>grant, AST-</w:t>
      </w:r>
      <w:r w:rsidR="00871346" w:rsidRPr="00D87479">
        <w:t>2138022</w:t>
      </w:r>
      <w:r w:rsidR="00871346">
        <w:t xml:space="preserve">, would fund </w:t>
      </w:r>
      <w:r w:rsidR="00D87479">
        <w:t xml:space="preserve">a workshop </w:t>
      </w:r>
      <w:r w:rsidR="00871346">
        <w:t xml:space="preserve">in </w:t>
      </w:r>
      <w:r w:rsidR="00D87479">
        <w:t xml:space="preserve">early FY2022 </w:t>
      </w:r>
      <w:r w:rsidR="00871346">
        <w:t xml:space="preserve">to </w:t>
      </w:r>
      <w:r w:rsidR="007F4F8E">
        <w:t>evaluate and define</w:t>
      </w:r>
      <w:r w:rsidR="00D87479">
        <w:t xml:space="preserve"> b</w:t>
      </w:r>
      <w:r w:rsidR="00D87479" w:rsidRPr="00D87479">
        <w:t>e</w:t>
      </w:r>
      <w:r w:rsidR="00D87479">
        <w:t>st pr</w:t>
      </w:r>
      <w:r w:rsidR="00D87479" w:rsidRPr="00D87479">
        <w:t xml:space="preserve">actices in K-12 STEM </w:t>
      </w:r>
      <w:r w:rsidR="00D87479">
        <w:t>research experiences across a wide variety of STEM disciplines.</w:t>
      </w:r>
    </w:p>
    <w:p w14:paraId="35450065" w14:textId="75687057" w:rsidR="00171905" w:rsidRDefault="001A1601">
      <w:r w:rsidRPr="00EA444B">
        <w:t xml:space="preserve">The </w:t>
      </w:r>
      <w:r w:rsidR="00B066C4">
        <w:t>GBO</w:t>
      </w:r>
      <w:r w:rsidRPr="00EA444B">
        <w:t xml:space="preserve"> has a proven track record of collaboratively constructing and commissioning cutting</w:t>
      </w:r>
      <w:r w:rsidR="0037432A">
        <w:t>-</w:t>
      </w:r>
      <w:r w:rsidRPr="00EA444B">
        <w:t xml:space="preserve">edge scientific instruments and obtaining funding for important new research and development activities. </w:t>
      </w:r>
      <w:r w:rsidR="003D1BAA" w:rsidRPr="00EA444B">
        <w:t>F</w:t>
      </w:r>
      <w:r w:rsidRPr="00EA444B">
        <w:t xml:space="preserve">uture instrumentation plans for the </w:t>
      </w:r>
      <w:r w:rsidR="00B066C4">
        <w:t>GBO</w:t>
      </w:r>
      <w:r w:rsidR="00B066C4" w:rsidRPr="00EA444B">
        <w:t xml:space="preserve"> </w:t>
      </w:r>
      <w:r w:rsidR="003D1BAA" w:rsidRPr="00EA444B">
        <w:t xml:space="preserve">are </w:t>
      </w:r>
      <w:r w:rsidRPr="00EA444B">
        <w:t xml:space="preserve">guided by scientific community inputs. </w:t>
      </w:r>
      <w:r w:rsidR="00A118F5">
        <w:t>S</w:t>
      </w:r>
      <w:r w:rsidRPr="00EA444B">
        <w:t xml:space="preserve">trong support </w:t>
      </w:r>
      <w:r w:rsidR="00B066C4">
        <w:t>for GBO</w:t>
      </w:r>
      <w:r w:rsidR="00B066C4" w:rsidRPr="00EA444B">
        <w:t xml:space="preserve"> science</w:t>
      </w:r>
      <w:r w:rsidRPr="00EA444B">
        <w:t xml:space="preserve"> priorities </w:t>
      </w:r>
      <w:r w:rsidR="007F4F8E">
        <w:t xml:space="preserve">is </w:t>
      </w:r>
      <w:r w:rsidRPr="00EA444B">
        <w:t>expected from the Astro2020 Decadal Survey on Astronomy and Astrophysics.</w:t>
      </w:r>
    </w:p>
    <w:p w14:paraId="4395A96C" w14:textId="4B65CB62" w:rsidR="001929E6" w:rsidRPr="001929E6" w:rsidRDefault="00AD1410">
      <w:r>
        <w:t xml:space="preserve">Due to the COVID-19 pandemic, </w:t>
      </w:r>
      <w:r w:rsidR="001929E6">
        <w:t>GBO</w:t>
      </w:r>
      <w:r w:rsidR="001929E6" w:rsidRPr="001929E6">
        <w:t xml:space="preserve"> operated </w:t>
      </w:r>
      <w:r>
        <w:t>all of FY2021</w:t>
      </w:r>
      <w:r w:rsidR="001929E6" w:rsidRPr="001929E6">
        <w:t xml:space="preserve"> under a series of site protocols approved by </w:t>
      </w:r>
      <w:r w:rsidR="00D87479">
        <w:t>the AUI Vice-President for Radio Astronomy,</w:t>
      </w:r>
      <w:r w:rsidR="001929E6" w:rsidRPr="001929E6">
        <w:t xml:space="preserve"> </w:t>
      </w:r>
      <w:r w:rsidR="00072FC2" w:rsidRPr="001929E6">
        <w:t xml:space="preserve">the </w:t>
      </w:r>
      <w:r w:rsidR="00A118F5">
        <w:t>GBO</w:t>
      </w:r>
      <w:r w:rsidR="00A118F5" w:rsidRPr="001929E6">
        <w:t xml:space="preserve"> </w:t>
      </w:r>
      <w:r w:rsidR="00072FC2" w:rsidRPr="001929E6">
        <w:t>Director</w:t>
      </w:r>
      <w:r w:rsidR="00072FC2">
        <w:t xml:space="preserve">, </w:t>
      </w:r>
      <w:r w:rsidR="001929E6" w:rsidRPr="001929E6">
        <w:t>and the head of NRAO</w:t>
      </w:r>
      <w:r w:rsidR="00D87479">
        <w:t>’s</w:t>
      </w:r>
      <w:r w:rsidR="001929E6" w:rsidRPr="001929E6">
        <w:t xml:space="preserve"> E</w:t>
      </w:r>
      <w:r w:rsidR="00D87479">
        <w:t xml:space="preserve">nvironmental, </w:t>
      </w:r>
      <w:r w:rsidR="001929E6" w:rsidRPr="001929E6">
        <w:t>S</w:t>
      </w:r>
      <w:r w:rsidR="00D87479">
        <w:t xml:space="preserve">afety, and </w:t>
      </w:r>
      <w:r w:rsidR="001929E6" w:rsidRPr="001929E6">
        <w:t>S</w:t>
      </w:r>
      <w:r w:rsidR="00D87479">
        <w:t>ecurity</w:t>
      </w:r>
      <w:r w:rsidR="001929E6" w:rsidRPr="001929E6">
        <w:t>; they will remain in effect at the start of FY202</w:t>
      </w:r>
      <w:r w:rsidR="00A8499B">
        <w:t>2</w:t>
      </w:r>
      <w:r w:rsidR="001929E6" w:rsidRPr="001929E6">
        <w:t xml:space="preserve">. The protocols exhibit structural consistency across the </w:t>
      </w:r>
      <w:r w:rsidR="001E5640">
        <w:t>divisions</w:t>
      </w:r>
      <w:r w:rsidR="001929E6" w:rsidRPr="001929E6">
        <w:t xml:space="preserve"> yet recognize that each </w:t>
      </w:r>
      <w:r w:rsidR="001E5640">
        <w:t>work group</w:t>
      </w:r>
      <w:r w:rsidR="001929E6" w:rsidRPr="001929E6">
        <w:t xml:space="preserve"> has unique operating characteristics. A common shared online directory provides access to the protocols to all employees.</w:t>
      </w:r>
    </w:p>
    <w:p w14:paraId="5C05E624" w14:textId="26995AB6" w:rsidR="001929E6" w:rsidRDefault="00A118F5">
      <w:r>
        <w:t>Ongoing p</w:t>
      </w:r>
      <w:r w:rsidR="001929E6" w:rsidRPr="001929E6">
        <w:t>rogrammatic impacts of COVID</w:t>
      </w:r>
      <w:r>
        <w:t xml:space="preserve"> </w:t>
      </w:r>
      <w:r w:rsidRPr="001929E6">
        <w:t>have</w:t>
      </w:r>
      <w:r w:rsidR="00A8499B">
        <w:t xml:space="preserve"> been reported in</w:t>
      </w:r>
      <w:r>
        <w:t xml:space="preserve"> GBO’s</w:t>
      </w:r>
      <w:r w:rsidR="00A8499B">
        <w:t xml:space="preserve"> FY2021 </w:t>
      </w:r>
      <w:r w:rsidR="00252FD6">
        <w:t>q</w:t>
      </w:r>
      <w:r w:rsidR="00A8499B">
        <w:t xml:space="preserve">uarterly </w:t>
      </w:r>
      <w:r w:rsidR="00252FD6">
        <w:t>reporting</w:t>
      </w:r>
      <w:r w:rsidR="00A8499B">
        <w:t xml:space="preserve"> and will be </w:t>
      </w:r>
      <w:r w:rsidR="001929E6" w:rsidRPr="001929E6">
        <w:t>discussed throughout</w:t>
      </w:r>
      <w:r>
        <w:t xml:space="preserve"> th</w:t>
      </w:r>
      <w:r w:rsidR="00FE1BA6">
        <w:t>is</w:t>
      </w:r>
      <w:r>
        <w:t xml:space="preserve"> FY2022 </w:t>
      </w:r>
      <w:r w:rsidR="00FE1BA6">
        <w:t>POP</w:t>
      </w:r>
      <w:r w:rsidR="001929E6" w:rsidRPr="001929E6">
        <w:t xml:space="preserve">. </w:t>
      </w:r>
      <w:r w:rsidR="00AD1410">
        <w:t xml:space="preserve">While </w:t>
      </w:r>
      <w:r w:rsidR="001929E6" w:rsidRPr="001929E6">
        <w:t xml:space="preserve">full </w:t>
      </w:r>
      <w:r w:rsidR="00252FD6">
        <w:t xml:space="preserve">onsite </w:t>
      </w:r>
      <w:r w:rsidR="001929E6" w:rsidRPr="001929E6">
        <w:t xml:space="preserve">operations </w:t>
      </w:r>
      <w:r w:rsidR="00027B12">
        <w:t xml:space="preserve">are </w:t>
      </w:r>
      <w:r w:rsidR="00AD1410">
        <w:t xml:space="preserve">expected to return </w:t>
      </w:r>
      <w:r w:rsidR="00252FD6">
        <w:t>by</w:t>
      </w:r>
      <w:r w:rsidR="00A8499B">
        <w:t xml:space="preserve"> </w:t>
      </w:r>
      <w:r w:rsidR="00AD1410">
        <w:t xml:space="preserve">the start of FY2022, the effects of the pandemic will be felt throughout FY2022. </w:t>
      </w:r>
      <w:r w:rsidR="0009129E">
        <w:t>S</w:t>
      </w:r>
      <w:r w:rsidR="001929E6" w:rsidRPr="001929E6">
        <w:t xml:space="preserve">hould a </w:t>
      </w:r>
      <w:r w:rsidR="00AD1410">
        <w:t>new</w:t>
      </w:r>
      <w:r w:rsidR="001929E6" w:rsidRPr="001929E6">
        <w:t xml:space="preserve"> wave</w:t>
      </w:r>
      <w:r w:rsidR="00AD1410">
        <w:t xml:space="preserve"> of COVID-19</w:t>
      </w:r>
      <w:r w:rsidR="00A8499B">
        <w:t xml:space="preserve"> or variant</w:t>
      </w:r>
      <w:r w:rsidR="00AD1410">
        <w:t xml:space="preserve"> infections </w:t>
      </w:r>
      <w:r w:rsidR="001929E6" w:rsidRPr="001929E6">
        <w:t>affect operat</w:t>
      </w:r>
      <w:r w:rsidR="00A8499B">
        <w:t>ions</w:t>
      </w:r>
      <w:r w:rsidR="001929E6" w:rsidRPr="001929E6">
        <w:t xml:space="preserve">, </w:t>
      </w:r>
      <w:r>
        <w:t xml:space="preserve">GBO </w:t>
      </w:r>
      <w:r w:rsidRPr="001929E6">
        <w:t>will</w:t>
      </w:r>
      <w:r w:rsidR="001929E6" w:rsidRPr="001929E6">
        <w:t xml:space="preserve"> respond as necessary and document POP goal changes through the </w:t>
      </w:r>
      <w:r w:rsidR="00252FD6">
        <w:t>q</w:t>
      </w:r>
      <w:r w:rsidR="001929E6" w:rsidRPr="001929E6">
        <w:t xml:space="preserve">uarterly </w:t>
      </w:r>
      <w:r w:rsidR="00252FD6">
        <w:t>reporting</w:t>
      </w:r>
      <w:r w:rsidR="001929E6" w:rsidRPr="001929E6">
        <w:t xml:space="preserve"> process</w:t>
      </w:r>
      <w:r w:rsidR="002441FE">
        <w:t>.</w:t>
      </w:r>
    </w:p>
    <w:p w14:paraId="618538D7" w14:textId="4BE9CEF1" w:rsidR="00C67C26" w:rsidRPr="00C67C26" w:rsidRDefault="00C67C26" w:rsidP="00BE3952">
      <w:pPr>
        <w:pStyle w:val="Heading2"/>
      </w:pPr>
      <w:bookmarkStart w:id="4" w:name="_Toc83886100"/>
      <w:r w:rsidRPr="00C67C26">
        <w:t>Strategic Goals</w:t>
      </w:r>
      <w:bookmarkEnd w:id="4"/>
    </w:p>
    <w:p w14:paraId="677A2735" w14:textId="553FCD33" w:rsidR="00777E1D" w:rsidRPr="00C67C26" w:rsidRDefault="00C67C26">
      <w:r w:rsidRPr="00C67C26">
        <w:t>The GBO Strategic Plan was updated in FY2020</w:t>
      </w:r>
      <w:r w:rsidR="00871346">
        <w:t xml:space="preserve"> and</w:t>
      </w:r>
      <w:r w:rsidRPr="00C67C26">
        <w:t xml:space="preserve"> provides a long-term vision for GBO</w:t>
      </w:r>
      <w:r w:rsidR="00871346">
        <w:t xml:space="preserve"> as well as</w:t>
      </w:r>
      <w:r w:rsidRPr="00C67C26">
        <w:t xml:space="preserve"> strategic guidance for future </w:t>
      </w:r>
      <w:r w:rsidR="00871346">
        <w:t>i</w:t>
      </w:r>
      <w:r w:rsidRPr="00C67C26">
        <w:t xml:space="preserve">nitiatives </w:t>
      </w:r>
      <w:r w:rsidR="00871346">
        <w:t>that will</w:t>
      </w:r>
      <w:r w:rsidRPr="00C67C26">
        <w:t xml:space="preserve"> enhance GBO’s role </w:t>
      </w:r>
      <w:r w:rsidR="00871346">
        <w:t>as an invaluable resource for astronomy in the U.S. and the world</w:t>
      </w:r>
      <w:r w:rsidRPr="00C67C26">
        <w:t xml:space="preserve">. The GBO strategic goals </w:t>
      </w:r>
      <w:r>
        <w:t>for FY202</w:t>
      </w:r>
      <w:r w:rsidR="00AD1410">
        <w:t>2</w:t>
      </w:r>
      <w:r w:rsidRPr="00C67C26">
        <w:t xml:space="preserve"> are</w:t>
      </w:r>
      <w:r w:rsidR="00115FB5">
        <w:t xml:space="preserve"> as follows.</w:t>
      </w:r>
      <w:r w:rsidRPr="00C67C26">
        <w:t xml:space="preserve"> </w:t>
      </w:r>
    </w:p>
    <w:p w14:paraId="688C2835" w14:textId="30D0C934" w:rsidR="00C67C26" w:rsidRPr="003724C5" w:rsidRDefault="00C67C26">
      <w:pPr>
        <w:pStyle w:val="ListParagraph"/>
        <w:numPr>
          <w:ilvl w:val="0"/>
          <w:numId w:val="34"/>
        </w:numPr>
        <w:rPr>
          <w:b/>
        </w:rPr>
      </w:pPr>
      <w:r w:rsidRPr="003724C5">
        <w:rPr>
          <w:b/>
        </w:rPr>
        <w:t>Developing an advanced Green Bank Telescope</w:t>
      </w:r>
    </w:p>
    <w:p w14:paraId="54C3919A" w14:textId="7D2F239A" w:rsidR="00532ED6" w:rsidRPr="003724C5" w:rsidRDefault="00532ED6">
      <w:pPr>
        <w:pStyle w:val="ListParagraph"/>
        <w:numPr>
          <w:ilvl w:val="0"/>
          <w:numId w:val="34"/>
        </w:numPr>
        <w:rPr>
          <w:b/>
        </w:rPr>
      </w:pPr>
      <w:r w:rsidRPr="003724C5">
        <w:rPr>
          <w:b/>
        </w:rPr>
        <w:t xml:space="preserve">Ensuring the </w:t>
      </w:r>
      <w:r w:rsidR="00FE1BA6" w:rsidRPr="003724C5">
        <w:rPr>
          <w:b/>
        </w:rPr>
        <w:t>long-term</w:t>
      </w:r>
      <w:r w:rsidRPr="003724C5">
        <w:rPr>
          <w:b/>
        </w:rPr>
        <w:t xml:space="preserve"> future of the Green Bank Telescope</w:t>
      </w:r>
    </w:p>
    <w:p w14:paraId="63EF6CB7" w14:textId="334241EF" w:rsidR="00C67C26" w:rsidRPr="003724C5" w:rsidRDefault="00C67C26">
      <w:pPr>
        <w:pStyle w:val="ListParagraph"/>
        <w:numPr>
          <w:ilvl w:val="0"/>
          <w:numId w:val="34"/>
        </w:numPr>
        <w:rPr>
          <w:b/>
        </w:rPr>
      </w:pPr>
      <w:r w:rsidRPr="003724C5">
        <w:rPr>
          <w:b/>
        </w:rPr>
        <w:t>Broadening our impact through STEM initiatives, diversity, and expanding our base</w:t>
      </w:r>
    </w:p>
    <w:p w14:paraId="732AA529" w14:textId="0664EFF7" w:rsidR="00C67C26" w:rsidRPr="003724C5" w:rsidRDefault="00C67C26">
      <w:pPr>
        <w:pStyle w:val="ListParagraph"/>
        <w:numPr>
          <w:ilvl w:val="0"/>
          <w:numId w:val="34"/>
        </w:numPr>
        <w:rPr>
          <w:b/>
        </w:rPr>
      </w:pPr>
      <w:r w:rsidRPr="003724C5">
        <w:rPr>
          <w:b/>
        </w:rPr>
        <w:t>Enhancing the Observatory’s environmental sustainability</w:t>
      </w:r>
    </w:p>
    <w:p w14:paraId="460EF953" w14:textId="3A204F81" w:rsidR="00C67C26" w:rsidRPr="003724C5" w:rsidRDefault="00C67C26">
      <w:pPr>
        <w:pStyle w:val="ListParagraph"/>
        <w:numPr>
          <w:ilvl w:val="0"/>
          <w:numId w:val="34"/>
        </w:numPr>
        <w:rPr>
          <w:b/>
        </w:rPr>
      </w:pPr>
      <w:r w:rsidRPr="003724C5">
        <w:rPr>
          <w:b/>
        </w:rPr>
        <w:t>Being a resource to the U.S. and international scientific community</w:t>
      </w:r>
    </w:p>
    <w:p w14:paraId="5CF2256F" w14:textId="63DBDC88" w:rsidR="00415847" w:rsidRPr="003724C5" w:rsidRDefault="002D7309">
      <w:pPr>
        <w:pStyle w:val="ListParagraph"/>
        <w:numPr>
          <w:ilvl w:val="0"/>
          <w:numId w:val="34"/>
        </w:numPr>
        <w:rPr>
          <w:b/>
        </w:rPr>
      </w:pPr>
      <w:r w:rsidRPr="003724C5">
        <w:rPr>
          <w:b/>
        </w:rPr>
        <w:t xml:space="preserve">Continuing </w:t>
      </w:r>
      <w:r w:rsidR="00415847" w:rsidRPr="003724C5">
        <w:rPr>
          <w:b/>
        </w:rPr>
        <w:t>to grow our partnerships and base</w:t>
      </w:r>
    </w:p>
    <w:p w14:paraId="1F89F4FC" w14:textId="0BB00FF2" w:rsidR="00532ED6" w:rsidRPr="003724C5" w:rsidRDefault="002D7309" w:rsidP="00532ED6">
      <w:pPr>
        <w:pStyle w:val="ListParagraph"/>
        <w:numPr>
          <w:ilvl w:val="0"/>
          <w:numId w:val="34"/>
        </w:numPr>
        <w:rPr>
          <w:b/>
        </w:rPr>
      </w:pPr>
      <w:r w:rsidRPr="003724C5">
        <w:rPr>
          <w:b/>
        </w:rPr>
        <w:t>Developing a j</w:t>
      </w:r>
      <w:r w:rsidR="00532ED6" w:rsidRPr="003724C5">
        <w:rPr>
          <w:b/>
        </w:rPr>
        <w:t>oint radar initiative with NRAO</w:t>
      </w:r>
    </w:p>
    <w:p w14:paraId="7C607866" w14:textId="0C6BE044" w:rsidR="00CB7EC4" w:rsidRPr="00415847" w:rsidRDefault="00CB7EC4" w:rsidP="00CB7EC4">
      <w:r w:rsidRPr="00C67C26">
        <w:t>Details of these activities can be found in subsequent sections.</w:t>
      </w:r>
    </w:p>
    <w:p w14:paraId="1E32AA9E" w14:textId="4A3CC3F3" w:rsidR="00C67C26" w:rsidRPr="00C67C26" w:rsidRDefault="00C67C26" w:rsidP="00BE3952">
      <w:pPr>
        <w:pStyle w:val="Heading2"/>
      </w:pPr>
      <w:bookmarkStart w:id="5" w:name="_Toc83886101"/>
      <w:r w:rsidRPr="00C67C26">
        <w:t>Introduction to the Plan</w:t>
      </w:r>
      <w:bookmarkEnd w:id="5"/>
    </w:p>
    <w:p w14:paraId="18C84173" w14:textId="3CA74CEF" w:rsidR="00C67C26" w:rsidRPr="00C67C26" w:rsidRDefault="00C67C26">
      <w:r>
        <w:t>This POP</w:t>
      </w:r>
      <w:r w:rsidRPr="00C67C26">
        <w:t xml:space="preserve"> describes FY202</w:t>
      </w:r>
      <w:r w:rsidR="00393CCC">
        <w:t>2</w:t>
      </w:r>
      <w:r w:rsidRPr="00C67C26">
        <w:t xml:space="preserve"> activities, operations, and initiatives that support the GBO Strat</w:t>
      </w:r>
      <w:r>
        <w:t xml:space="preserve">egic Plan. This is the </w:t>
      </w:r>
      <w:r w:rsidR="00393CCC">
        <w:t>second</w:t>
      </w:r>
      <w:r>
        <w:t xml:space="preserve"> POP</w:t>
      </w:r>
      <w:r w:rsidRPr="00C67C26">
        <w:t xml:space="preserve"> crafted within the framework of the Cooperative Agreement established by the NSF with AUI for the operation of the GBO </w:t>
      </w:r>
      <w:r w:rsidR="00871346">
        <w:t xml:space="preserve">for </w:t>
      </w:r>
      <w:r w:rsidR="00517619">
        <w:t>FY2020</w:t>
      </w:r>
      <w:r w:rsidR="008C2B05">
        <w:t>–</w:t>
      </w:r>
      <w:r w:rsidRPr="00C67C26">
        <w:t>2024.</w:t>
      </w:r>
    </w:p>
    <w:p w14:paraId="32101224" w14:textId="0C0DD35B" w:rsidR="00C67C26" w:rsidRDefault="00C67C26">
      <w:r>
        <w:lastRenderedPageBreak/>
        <w:t>The POP</w:t>
      </w:r>
      <w:r w:rsidRPr="00C67C26">
        <w:t xml:space="preserve"> serves as the primary GBO document for communicating the vision, mission, strategy, and initiatives that will serve the user community and deliver the best science results.</w:t>
      </w:r>
      <w:r>
        <w:t xml:space="preserve"> The POP</w:t>
      </w:r>
      <w:r w:rsidRPr="00C67C26">
        <w:t xml:space="preserve"> is updated annually to incorporate the latest scientific, technical, and budgetary developments. </w:t>
      </w:r>
      <w:r>
        <w:t xml:space="preserve">While POP milestones are limited to CSA-funded activities, </w:t>
      </w:r>
      <w:r w:rsidRPr="00C67C26">
        <w:t xml:space="preserve">GBO has multiple sources of funding incorporated into this plan, including NSF-AST Cooperative Support Agreement (CSA) funds, other awards, and partnerships. GBO </w:t>
      </w:r>
      <w:r w:rsidRPr="008C2B05">
        <w:rPr>
          <w:spacing w:val="-2"/>
        </w:rPr>
        <w:t xml:space="preserve">targets non-CSA sources of funds to overcome operational budget </w:t>
      </w:r>
      <w:r w:rsidR="00A8499B" w:rsidRPr="008C2B05">
        <w:rPr>
          <w:spacing w:val="-2"/>
        </w:rPr>
        <w:t xml:space="preserve">shortfalls </w:t>
      </w:r>
      <w:r w:rsidRPr="008C2B05">
        <w:rPr>
          <w:spacing w:val="-2"/>
        </w:rPr>
        <w:t xml:space="preserve">not covered by the NSF funding allocation, to </w:t>
      </w:r>
      <w:r w:rsidR="000B7D64" w:rsidRPr="008C2B05">
        <w:rPr>
          <w:spacing w:val="-2"/>
        </w:rPr>
        <w:t xml:space="preserve">maintain and </w:t>
      </w:r>
      <w:r w:rsidRPr="008C2B05">
        <w:rPr>
          <w:spacing w:val="-2"/>
        </w:rPr>
        <w:t>support research and development efforts, and to retain key employee skills.</w:t>
      </w:r>
      <w:r w:rsidRPr="00C67C26">
        <w:t xml:space="preserve"> </w:t>
      </w:r>
    </w:p>
    <w:p w14:paraId="3E182620" w14:textId="5D232027" w:rsidR="00C67C26" w:rsidRPr="00C67C26" w:rsidRDefault="00C67C26" w:rsidP="00BE3952">
      <w:pPr>
        <w:pStyle w:val="Heading2"/>
      </w:pPr>
      <w:bookmarkStart w:id="6" w:name="_Toc83886102"/>
      <w:r w:rsidRPr="00C67C26">
        <w:t xml:space="preserve">Structure of the </w:t>
      </w:r>
      <w:r w:rsidR="00EC0170">
        <w:t>POP</w:t>
      </w:r>
      <w:bookmarkEnd w:id="6"/>
    </w:p>
    <w:p w14:paraId="3F7B6035" w14:textId="325F0C4D" w:rsidR="00C67C26" w:rsidRPr="00C67C26" w:rsidRDefault="00C67C26" w:rsidP="00B86F30">
      <w:pPr>
        <w:spacing w:line="252" w:lineRule="auto"/>
      </w:pPr>
      <w:r w:rsidRPr="00C67C26">
        <w:t>Section 2 describes the key community-driven science goals, outlining a new vision for research built upon science produced since the 2010 Decadal Survey</w:t>
      </w:r>
      <w:r w:rsidR="00393CCC">
        <w:t xml:space="preserve"> and based on numerous community workshops and discussions over the intervening decade</w:t>
      </w:r>
      <w:r w:rsidRPr="00C67C26">
        <w:t xml:space="preserve">. It addresses the topics of </w:t>
      </w:r>
      <w:r w:rsidR="002E258D">
        <w:t xml:space="preserve">GBO </w:t>
      </w:r>
      <w:r w:rsidRPr="00C67C26">
        <w:t xml:space="preserve">science in the next </w:t>
      </w:r>
      <w:r>
        <w:t>year</w:t>
      </w:r>
      <w:r w:rsidRPr="00C67C26">
        <w:t>.</w:t>
      </w:r>
      <w:r w:rsidR="00072FC2">
        <w:t xml:space="preserve"> Due to delays in the release of the 2020 Decadal Survey</w:t>
      </w:r>
      <w:r w:rsidR="00072FC2">
        <w:rPr>
          <w:rStyle w:val="FootnoteReference"/>
        </w:rPr>
        <w:footnoteReference w:id="1"/>
      </w:r>
      <w:r w:rsidR="00072FC2">
        <w:t xml:space="preserve">, these goals </w:t>
      </w:r>
      <w:r w:rsidR="002E258D">
        <w:t xml:space="preserve">will be informed by the </w:t>
      </w:r>
      <w:r w:rsidR="00072FC2">
        <w:t xml:space="preserve">Astro2020 </w:t>
      </w:r>
      <w:r w:rsidR="002E258D">
        <w:t>report when it becomes available</w:t>
      </w:r>
      <w:r w:rsidR="00072FC2">
        <w:t>.</w:t>
      </w:r>
    </w:p>
    <w:p w14:paraId="1619C269" w14:textId="0E924DBE" w:rsidR="00C67C26" w:rsidRPr="00C67C26" w:rsidRDefault="00C67C26" w:rsidP="00B86F30">
      <w:pPr>
        <w:spacing w:line="252" w:lineRule="auto"/>
      </w:pPr>
      <w:r w:rsidRPr="00C67C26">
        <w:t xml:space="preserve">Section 3 describes </w:t>
      </w:r>
      <w:r>
        <w:t>GBT</w:t>
      </w:r>
      <w:r w:rsidRPr="00C67C26">
        <w:t xml:space="preserve"> operations and </w:t>
      </w:r>
      <w:r w:rsidR="002E258D">
        <w:t>GBO’s</w:t>
      </w:r>
      <w:r w:rsidR="002E258D" w:rsidRPr="00C67C26">
        <w:t xml:space="preserve"> </w:t>
      </w:r>
      <w:r w:rsidRPr="00C67C26">
        <w:t xml:space="preserve">role in providing access to the GBT, expanding access to new users, enhancing services to users to facilitate achievement of their scientific objectives, and optimizing scientific operational efficiencies across the </w:t>
      </w:r>
      <w:r w:rsidR="002E258D">
        <w:t>GBO</w:t>
      </w:r>
      <w:r w:rsidRPr="00C67C26">
        <w:t xml:space="preserve">. </w:t>
      </w:r>
      <w:r w:rsidR="002E258D">
        <w:t xml:space="preserve">GBO </w:t>
      </w:r>
      <w:r w:rsidR="00384AEC">
        <w:t xml:space="preserve">scientists also support </w:t>
      </w:r>
      <w:r w:rsidRPr="00C67C26">
        <w:t>observer training and community outreach.</w:t>
      </w:r>
    </w:p>
    <w:p w14:paraId="4A7A3E05" w14:textId="5E84E7C4" w:rsidR="00C67C26" w:rsidRPr="00C67C26" w:rsidRDefault="00C67C26" w:rsidP="00B86F30">
      <w:pPr>
        <w:spacing w:line="252" w:lineRule="auto"/>
      </w:pPr>
      <w:r w:rsidRPr="00C67C26">
        <w:t>Section 4 describes other GBO assets, including additional site telescopes such as the 20-Meter telescope used for educational activities</w:t>
      </w:r>
      <w:r w:rsidR="00780324">
        <w:t>, radio quiet zones, and future instrumentation</w:t>
      </w:r>
      <w:r w:rsidR="00384AEC">
        <w:t>. It also describes</w:t>
      </w:r>
      <w:r w:rsidRPr="00C67C26">
        <w:t xml:space="preserve"> projects and plans for use of site research assets. </w:t>
      </w:r>
    </w:p>
    <w:p w14:paraId="6DB5D6E9" w14:textId="1DBD2AE5" w:rsidR="00C67C26" w:rsidRPr="00C67C26" w:rsidRDefault="00C67C26" w:rsidP="00B86F30">
      <w:pPr>
        <w:spacing w:line="252" w:lineRule="auto"/>
      </w:pPr>
      <w:r w:rsidRPr="00C67C26">
        <w:t xml:space="preserve">Section 5 describes </w:t>
      </w:r>
      <w:r>
        <w:t xml:space="preserve">the </w:t>
      </w:r>
      <w:r w:rsidRPr="00C67C26">
        <w:t xml:space="preserve">GBO </w:t>
      </w:r>
      <w:r>
        <w:t xml:space="preserve">broader impacts to the scientific and general community including educational, outreach, and diversity programs at the </w:t>
      </w:r>
      <w:r w:rsidR="002E258D">
        <w:t>GBO</w:t>
      </w:r>
      <w:r w:rsidRPr="00C67C26">
        <w:t>.</w:t>
      </w:r>
    </w:p>
    <w:p w14:paraId="22CFB8B4" w14:textId="19BD40B5" w:rsidR="00C67C26" w:rsidRPr="00C67C26" w:rsidRDefault="00C67C26" w:rsidP="00B86F30">
      <w:pPr>
        <w:spacing w:line="252" w:lineRule="auto"/>
      </w:pPr>
      <w:r w:rsidRPr="00C67C26">
        <w:t xml:space="preserve">Section 6 describes </w:t>
      </w:r>
      <w:r>
        <w:t>the organization of the GBO</w:t>
      </w:r>
      <w:r w:rsidR="00384AEC">
        <w:t>,</w:t>
      </w:r>
      <w:r>
        <w:t xml:space="preserve"> including the </w:t>
      </w:r>
      <w:r w:rsidRPr="00C67C26">
        <w:t>Director’s Office activities,</w:t>
      </w:r>
      <w:r>
        <w:t xml:space="preserve"> Science Operations,</w:t>
      </w:r>
      <w:r w:rsidRPr="00C67C26">
        <w:t xml:space="preserve"> </w:t>
      </w:r>
      <w:r>
        <w:t>EPO, and all of the operating divisions</w:t>
      </w:r>
      <w:r w:rsidRPr="00C67C26">
        <w:t xml:space="preserve">. </w:t>
      </w:r>
    </w:p>
    <w:p w14:paraId="003DB09E" w14:textId="77777777" w:rsidR="00780324" w:rsidRPr="00C67C26" w:rsidRDefault="00780324" w:rsidP="00B86F30">
      <w:pPr>
        <w:spacing w:line="252" w:lineRule="auto"/>
      </w:pPr>
      <w:r>
        <w:t>Section 7</w:t>
      </w:r>
      <w:r w:rsidRPr="00C67C26">
        <w:t xml:space="preserve"> describes the </w:t>
      </w:r>
      <w:r>
        <w:t>GBO and AUI workforce management plans and activities</w:t>
      </w:r>
      <w:r w:rsidRPr="00C67C26">
        <w:t xml:space="preserve">. </w:t>
      </w:r>
    </w:p>
    <w:p w14:paraId="591110A4" w14:textId="0A17F690" w:rsidR="00C67C26" w:rsidRDefault="00780324" w:rsidP="00B86F30">
      <w:pPr>
        <w:spacing w:line="252" w:lineRule="auto"/>
      </w:pPr>
      <w:r>
        <w:t>Section 8</w:t>
      </w:r>
      <w:r w:rsidR="00C67C26" w:rsidRPr="00C67C26">
        <w:t xml:space="preserve"> </w:t>
      </w:r>
      <w:r w:rsidR="00C67C26">
        <w:t xml:space="preserve">discusses the </w:t>
      </w:r>
      <w:r w:rsidR="002E258D">
        <w:t>Infrastructure and Maintenance plans</w:t>
      </w:r>
      <w:r w:rsidR="00C67C26">
        <w:t xml:space="preserve"> for FY202</w:t>
      </w:r>
      <w:r w:rsidR="00393CCC">
        <w:t>2</w:t>
      </w:r>
      <w:r w:rsidR="00C67C26">
        <w:t xml:space="preserve"> to </w:t>
      </w:r>
      <w:r w:rsidR="001F1CA1">
        <w:t>preserve</w:t>
      </w:r>
      <w:r w:rsidR="00C67C26">
        <w:t xml:space="preserve"> and </w:t>
      </w:r>
      <w:r w:rsidR="001F1CA1">
        <w:t>enhance</w:t>
      </w:r>
      <w:r w:rsidR="00C67C26">
        <w:t xml:space="preserve"> the impact of the GBO in FY202</w:t>
      </w:r>
      <w:r w:rsidR="00393CCC">
        <w:t>2</w:t>
      </w:r>
      <w:r w:rsidR="00C67C26">
        <w:t xml:space="preserve"> and beyond.</w:t>
      </w:r>
      <w:r w:rsidR="00C67C26" w:rsidRPr="00C67C26">
        <w:t xml:space="preserve"> </w:t>
      </w:r>
    </w:p>
    <w:p w14:paraId="545AA796" w14:textId="46601ABC" w:rsidR="00940436" w:rsidRDefault="00940436" w:rsidP="00B86F30">
      <w:pPr>
        <w:spacing w:line="252" w:lineRule="auto"/>
      </w:pPr>
      <w:r>
        <w:t xml:space="preserve">Section 9 covers new </w:t>
      </w:r>
      <w:r w:rsidR="002D7309">
        <w:t>initiatives</w:t>
      </w:r>
      <w:r>
        <w:t xml:space="preserve"> for the GBO.</w:t>
      </w:r>
    </w:p>
    <w:p w14:paraId="37BFC73C" w14:textId="0E4EEFF8" w:rsidR="00940436" w:rsidRPr="00C67C26" w:rsidRDefault="00940436" w:rsidP="00B86F30">
      <w:pPr>
        <w:spacing w:line="252" w:lineRule="auto"/>
      </w:pPr>
      <w:r>
        <w:t>Section 10 discusses partnerships, new and existing.</w:t>
      </w:r>
    </w:p>
    <w:p w14:paraId="14162A75" w14:textId="77777777" w:rsidR="00B86F30" w:rsidRDefault="00780324" w:rsidP="00B86F30">
      <w:pPr>
        <w:spacing w:line="252" w:lineRule="auto"/>
      </w:pPr>
      <w:r>
        <w:t xml:space="preserve">Section </w:t>
      </w:r>
      <w:r w:rsidR="00940436">
        <w:t>11</w:t>
      </w:r>
      <w:r w:rsidR="00C67C26" w:rsidRPr="00C67C26">
        <w:t xml:space="preserve"> </w:t>
      </w:r>
      <w:r w:rsidR="002E258D">
        <w:t>is</w:t>
      </w:r>
      <w:r w:rsidR="002E258D" w:rsidRPr="00C67C26">
        <w:t xml:space="preserve"> </w:t>
      </w:r>
      <w:r w:rsidR="00C67C26" w:rsidRPr="00C67C26">
        <w:t xml:space="preserve">the </w:t>
      </w:r>
      <w:r w:rsidR="001F1CA1">
        <w:t>GBO budget summary for FY202</w:t>
      </w:r>
      <w:r w:rsidR="00393CCC">
        <w:t>2</w:t>
      </w:r>
      <w:r w:rsidR="00C67C26" w:rsidRPr="00C67C26">
        <w:t xml:space="preserve">. </w:t>
      </w:r>
    </w:p>
    <w:p w14:paraId="050324A5" w14:textId="25785308" w:rsidR="009063DA" w:rsidRPr="00BB5FC1" w:rsidRDefault="00331624">
      <w:r w:rsidRPr="00A829B3">
        <w:rPr>
          <w:spacing w:val="-2"/>
        </w:rPr>
        <w:t>F</w:t>
      </w:r>
      <w:r w:rsidR="00A829B3" w:rsidRPr="00A829B3">
        <w:rPr>
          <w:spacing w:val="-2"/>
        </w:rPr>
        <w:t>ive</w:t>
      </w:r>
      <w:r w:rsidR="00C67C26" w:rsidRPr="00A829B3">
        <w:rPr>
          <w:spacing w:val="-2"/>
        </w:rPr>
        <w:t xml:space="preserve"> appendices provide supplementary detail: Appendix A – </w:t>
      </w:r>
      <w:r w:rsidR="00384AEC" w:rsidRPr="00A829B3">
        <w:rPr>
          <w:spacing w:val="-2"/>
        </w:rPr>
        <w:t>t</w:t>
      </w:r>
      <w:r w:rsidR="001F1CA1" w:rsidRPr="00A829B3">
        <w:rPr>
          <w:spacing w:val="-2"/>
        </w:rPr>
        <w:t>he FY202</w:t>
      </w:r>
      <w:r w:rsidR="00393CCC" w:rsidRPr="00A829B3">
        <w:rPr>
          <w:spacing w:val="-2"/>
        </w:rPr>
        <w:t>2</w:t>
      </w:r>
      <w:r w:rsidR="001F1CA1" w:rsidRPr="00A829B3">
        <w:rPr>
          <w:spacing w:val="-2"/>
        </w:rPr>
        <w:t xml:space="preserve"> Financial Plan</w:t>
      </w:r>
      <w:r w:rsidRPr="00A829B3">
        <w:rPr>
          <w:spacing w:val="-2"/>
        </w:rPr>
        <w:t>, Appendix B – WBS Structure, Appendix C – Major Milestones,</w:t>
      </w:r>
      <w:r w:rsidR="001F1CA1" w:rsidRPr="00A829B3">
        <w:rPr>
          <w:spacing w:val="-2"/>
        </w:rPr>
        <w:t xml:space="preserve"> </w:t>
      </w:r>
      <w:r w:rsidR="00A829B3" w:rsidRPr="00A829B3">
        <w:rPr>
          <w:spacing w:val="-2"/>
        </w:rPr>
        <w:t xml:space="preserve">Appendix D – references, </w:t>
      </w:r>
      <w:r w:rsidR="001F1CA1" w:rsidRPr="00A829B3">
        <w:rPr>
          <w:spacing w:val="-2"/>
        </w:rPr>
        <w:t xml:space="preserve">and </w:t>
      </w:r>
      <w:r w:rsidR="00C67C26" w:rsidRPr="00A829B3">
        <w:rPr>
          <w:spacing w:val="-2"/>
        </w:rPr>
        <w:t xml:space="preserve">Appendix </w:t>
      </w:r>
      <w:r w:rsidR="00A829B3" w:rsidRPr="00A829B3">
        <w:rPr>
          <w:spacing w:val="-2"/>
        </w:rPr>
        <w:t>E</w:t>
      </w:r>
      <w:r w:rsidR="00C67C26" w:rsidRPr="00A829B3">
        <w:rPr>
          <w:spacing w:val="-2"/>
        </w:rPr>
        <w:t xml:space="preserve"> – acronyms definitions.</w:t>
      </w:r>
      <w:r w:rsidR="009063DA" w:rsidRPr="00EA444B">
        <w:br w:type="page"/>
      </w:r>
    </w:p>
    <w:p w14:paraId="25CBB703" w14:textId="2F2BA426" w:rsidR="00AF4AE8" w:rsidRPr="00074BC1" w:rsidRDefault="00B55D0A" w:rsidP="00BE3952">
      <w:pPr>
        <w:pStyle w:val="Heading1"/>
        <w:rPr>
          <w:rStyle w:val="ListLabel1"/>
          <w:rFonts w:ascii="Gill Sans MT" w:eastAsiaTheme="minorHAnsi" w:hAnsi="Gill Sans MT"/>
          <w:b w:val="0"/>
          <w:bCs w:val="0"/>
          <w:iCs w:val="0"/>
          <w:caps w:val="0"/>
        </w:rPr>
      </w:pPr>
      <w:bookmarkStart w:id="7" w:name="_Toc2078182"/>
      <w:bookmarkStart w:id="8" w:name="_Toc1052097"/>
      <w:bookmarkStart w:id="9" w:name="_Toc1140119"/>
      <w:bookmarkStart w:id="10" w:name="_Toc631133"/>
      <w:bookmarkStart w:id="11" w:name="_Toc631134"/>
      <w:bookmarkStart w:id="12" w:name="_Toc631137"/>
      <w:bookmarkStart w:id="13" w:name="_Toc631142"/>
      <w:bookmarkStart w:id="14" w:name="_Toc636941"/>
      <w:bookmarkStart w:id="15" w:name="_Toc637303"/>
      <w:bookmarkStart w:id="16" w:name="_Toc637664"/>
      <w:bookmarkStart w:id="17" w:name="_Toc637865"/>
      <w:bookmarkStart w:id="18" w:name="_Toc638061"/>
      <w:bookmarkStart w:id="19" w:name="_Toc638624"/>
      <w:bookmarkStart w:id="20" w:name="_Toc638982"/>
      <w:bookmarkStart w:id="21" w:name="_Toc639176"/>
      <w:bookmarkStart w:id="22" w:name="_Toc639375"/>
      <w:bookmarkStart w:id="23" w:name="_Toc788021"/>
      <w:bookmarkStart w:id="24" w:name="_Toc631144"/>
      <w:bookmarkStart w:id="25" w:name="_Toc636943"/>
      <w:bookmarkStart w:id="26" w:name="_Toc637305"/>
      <w:bookmarkStart w:id="27" w:name="_Toc637666"/>
      <w:bookmarkStart w:id="28" w:name="_Toc637867"/>
      <w:bookmarkStart w:id="29" w:name="_Toc638063"/>
      <w:bookmarkStart w:id="30" w:name="_Toc638626"/>
      <w:bookmarkStart w:id="31" w:name="_Toc638984"/>
      <w:bookmarkStart w:id="32" w:name="_Toc639178"/>
      <w:bookmarkStart w:id="33" w:name="_Toc639377"/>
      <w:bookmarkStart w:id="34" w:name="_Toc788023"/>
      <w:bookmarkStart w:id="35" w:name="_Toc631146"/>
      <w:bookmarkStart w:id="36" w:name="_Toc636945"/>
      <w:bookmarkStart w:id="37" w:name="_Toc637307"/>
      <w:bookmarkStart w:id="38" w:name="_Toc637668"/>
      <w:bookmarkStart w:id="39" w:name="_Toc637869"/>
      <w:bookmarkStart w:id="40" w:name="_Toc638065"/>
      <w:bookmarkStart w:id="41" w:name="_Toc638628"/>
      <w:bookmarkStart w:id="42" w:name="_Toc638986"/>
      <w:bookmarkStart w:id="43" w:name="_Toc639180"/>
      <w:bookmarkStart w:id="44" w:name="_Toc639379"/>
      <w:bookmarkStart w:id="45" w:name="_Toc788025"/>
      <w:bookmarkStart w:id="46" w:name="_Toc631148"/>
      <w:bookmarkStart w:id="47" w:name="_Toc636947"/>
      <w:bookmarkStart w:id="48" w:name="_Toc637309"/>
      <w:bookmarkStart w:id="49" w:name="_Toc637670"/>
      <w:bookmarkStart w:id="50" w:name="_Toc637871"/>
      <w:bookmarkStart w:id="51" w:name="_Toc638067"/>
      <w:bookmarkStart w:id="52" w:name="_Toc638630"/>
      <w:bookmarkStart w:id="53" w:name="_Toc638988"/>
      <w:bookmarkStart w:id="54" w:name="_Toc639182"/>
      <w:bookmarkStart w:id="55" w:name="_Toc639381"/>
      <w:bookmarkStart w:id="56" w:name="_Toc788027"/>
      <w:bookmarkStart w:id="57" w:name="_Toc8388610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A27D47">
        <w:rPr>
          <w:rStyle w:val="ListLabel1"/>
          <w:caps w:val="0"/>
        </w:rPr>
        <w:lastRenderedPageBreak/>
        <w:t>TRANSFORMATIONAL SCIENCE WITH THE GBT</w:t>
      </w:r>
      <w:bookmarkEnd w:id="57"/>
    </w:p>
    <w:p w14:paraId="044987EA" w14:textId="0D0A89C6" w:rsidR="00AF4AE8" w:rsidRPr="00BB5FC1" w:rsidRDefault="00517619">
      <w:r>
        <w:t xml:space="preserve">While </w:t>
      </w:r>
      <w:r w:rsidR="00470CC5">
        <w:t xml:space="preserve">GBO </w:t>
      </w:r>
      <w:r>
        <w:t xml:space="preserve">awaits the release of the Astro2020 Decadal Survey report, it continues to focus on current </w:t>
      </w:r>
      <w:r w:rsidR="00BE2BE6" w:rsidRPr="00BB5FC1">
        <w:t>priorities of the scientific community</w:t>
      </w:r>
      <w:r>
        <w:t>. T</w:t>
      </w:r>
      <w:r w:rsidR="00BE2BE6" w:rsidRPr="00BB5FC1">
        <w:t>he research program of the GBT covers a broad and dynamic spectrum that cuts across traditional disciplinary boundaries. Over the next decade, the unique capabilities of the GBT will allow for major advances</w:t>
      </w:r>
      <w:r w:rsidR="000912C5">
        <w:t xml:space="preserve"> across many areas of astrophysics.</w:t>
      </w:r>
      <w:r w:rsidR="00BE2BE6" w:rsidRPr="00BB5FC1">
        <w:t xml:space="preserve"> Here we outline the likely scientific impacts within FY202</w:t>
      </w:r>
      <w:r w:rsidR="00A8499B">
        <w:t>2</w:t>
      </w:r>
      <w:r w:rsidR="00AF4AE8" w:rsidRPr="00BB5FC1">
        <w:t>.</w:t>
      </w:r>
    </w:p>
    <w:p w14:paraId="59366252" w14:textId="39AE2B94" w:rsidR="00AF4AE8" w:rsidRPr="00BB5FC1" w:rsidRDefault="00AF4AE8" w:rsidP="00BE3952">
      <w:pPr>
        <w:pStyle w:val="Heading2"/>
      </w:pPr>
      <w:bookmarkStart w:id="58" w:name="_Toc1140122"/>
      <w:bookmarkStart w:id="59" w:name="_Toc2854726"/>
      <w:bookmarkStart w:id="60" w:name="_Toc83886104"/>
      <w:r w:rsidRPr="00BB5FC1">
        <w:t>Star Formation and Evolution</w:t>
      </w:r>
      <w:bookmarkEnd w:id="58"/>
      <w:bookmarkEnd w:id="59"/>
      <w:bookmarkEnd w:id="60"/>
    </w:p>
    <w:p w14:paraId="1666DB01" w14:textId="2D2FC127" w:rsidR="00AF4AE8" w:rsidRDefault="00AF4AE8">
      <w:pPr>
        <w:pStyle w:val="NormalWeb"/>
      </w:pPr>
      <w:r w:rsidRPr="00BB5FC1">
        <w:t>D</w:t>
      </w:r>
      <w:r w:rsidR="00BE2BE6" w:rsidRPr="00BB5FC1">
        <w:t>espite many recent advances, there are still major gaps in our understanding of how stars and solar systems form. It is possible that most stars form in molecular filaments, which contain dense cores, the sites of relatively isolated star formation. But how do filaments form and evolve in molecular clouds? What is the mass accretion rate and dynamical time scale of star formation in filaments? Will all density fluctuations form cores, and how do they dissipate their turbulence? With its broad frequency coverage, high sensitivity, and existing and planned suite of receivers, the GBT offers unrivaled capabilities for the study of star formation in molecular cloud</w:t>
      </w:r>
      <w:r w:rsidRPr="00BB5FC1">
        <w:t xml:space="preserve">s.  </w:t>
      </w:r>
    </w:p>
    <w:p w14:paraId="459E52EC" w14:textId="77777777" w:rsidR="00777E1D" w:rsidRPr="00BB5FC1" w:rsidRDefault="00777E1D">
      <w:pPr>
        <w:pStyle w:val="NormalWeb"/>
      </w:pPr>
    </w:p>
    <w:p w14:paraId="4270726D" w14:textId="3C3C69E4" w:rsidR="00AF4AE8" w:rsidRPr="00BB5FC1" w:rsidRDefault="00AF4AE8">
      <w:pPr>
        <w:pStyle w:val="NormalWeb"/>
      </w:pPr>
      <w:r w:rsidRPr="00BB5FC1">
        <w:t>T</w:t>
      </w:r>
      <w:r w:rsidR="00BE2BE6" w:rsidRPr="00BB5FC1">
        <w:t xml:space="preserve">he processes that influence star formation operate over an enormous range of linear scales, from galactic encounters across 10 to 100 kpc that can set the overall star formation rate, to the sub-parsec scale of a cluster or single star. Other important characteristic scales include the ~1 kpc thickness of spiral arms, ~100 pc diameter of large molecular clouds, ~10 pc length of molecular filaments, ~1 pc size of dense cores, and ~0.1 pc thickness of molecular filaments. Acquiring and assembling consistent information spanning five orders of magnitude in spatial scale is a daunting task, but one that must be accomplished to improve our understanding </w:t>
      </w:r>
      <w:r w:rsidR="00BE2BE6">
        <w:t xml:space="preserve">of </w:t>
      </w:r>
      <w:r w:rsidR="00BE2BE6" w:rsidRPr="00BB5FC1">
        <w:t>star formation</w:t>
      </w:r>
      <w:r w:rsidRPr="00BB5FC1">
        <w:t xml:space="preserve">.  </w:t>
      </w:r>
    </w:p>
    <w:p w14:paraId="6EE2873B" w14:textId="77777777" w:rsidR="00AF4AE8" w:rsidRPr="00BB5FC1" w:rsidRDefault="00AF4AE8">
      <w:pPr>
        <w:pStyle w:val="NormalWeb"/>
      </w:pPr>
    </w:p>
    <w:p w14:paraId="036AC5CB" w14:textId="03ABC0C1" w:rsidR="00AF4AE8" w:rsidRDefault="00BE2BE6" w:rsidP="00CA4D45">
      <w:pPr>
        <w:pStyle w:val="NormalWeb"/>
        <w:spacing w:line="257" w:lineRule="auto"/>
      </w:pPr>
      <w:r w:rsidRPr="00614409">
        <w:t xml:space="preserve">Over the next year, the GBT will </w:t>
      </w:r>
      <w:r w:rsidR="000912C5">
        <w:t>continue</w:t>
      </w:r>
      <w:r w:rsidRPr="00614409">
        <w:t xml:space="preserve"> to map the starless and dense cores in the widely used dense gas tracer N</w:t>
      </w:r>
      <w:r w:rsidRPr="00614409">
        <w:rPr>
          <w:vertAlign w:val="subscript"/>
        </w:rPr>
        <w:t>2</w:t>
      </w:r>
      <w:r w:rsidRPr="00614409">
        <w:t>H</w:t>
      </w:r>
      <w:r w:rsidRPr="00614409">
        <w:rPr>
          <w:vertAlign w:val="superscript"/>
        </w:rPr>
        <w:t>+</w:t>
      </w:r>
      <w:r w:rsidRPr="00614409">
        <w:t xml:space="preserve"> to better understand the formation and diversity of </w:t>
      </w:r>
      <w:proofErr w:type="spellStart"/>
      <w:r w:rsidRPr="00614409">
        <w:t>protostellar</w:t>
      </w:r>
      <w:proofErr w:type="spellEnd"/>
      <w:r w:rsidRPr="00614409">
        <w:t xml:space="preserve"> disks and binary/multiple systems. Ammonia (NH</w:t>
      </w:r>
      <w:r w:rsidRPr="00614409">
        <w:rPr>
          <w:vertAlign w:val="subscript"/>
        </w:rPr>
        <w:t>3</w:t>
      </w:r>
      <w:r w:rsidRPr="00614409">
        <w:t xml:space="preserve">) lines in the Milky Way’s giant molecular filaments will be mapped to determine their role in star formation. Turbulent gas within the Milky Way will be studied to further refine its role as </w:t>
      </w:r>
      <w:r>
        <w:t xml:space="preserve">a regulator in star formation. </w:t>
      </w:r>
      <w:r w:rsidRPr="00614409">
        <w:t xml:space="preserve">GBT data will also be combined with ALMA observations to systematically </w:t>
      </w:r>
      <w:r w:rsidRPr="00CA4D45">
        <w:rPr>
          <w:spacing w:val="-4"/>
        </w:rPr>
        <w:t>measure the core mass function toward a sample of the most massive, parsec-scale clusters in the Milky Way</w:t>
      </w:r>
      <w:r w:rsidR="00AF4AE8" w:rsidRPr="00CA4D45">
        <w:rPr>
          <w:spacing w:val="-4"/>
        </w:rPr>
        <w:t>.</w:t>
      </w:r>
      <w:r w:rsidR="00AF4AE8" w:rsidRPr="00614409">
        <w:t xml:space="preserve"> </w:t>
      </w:r>
    </w:p>
    <w:p w14:paraId="0F61B111" w14:textId="77777777" w:rsidR="00CA4D45" w:rsidRPr="00BB5FC1" w:rsidRDefault="00CA4D45" w:rsidP="00CA4D45">
      <w:pPr>
        <w:pStyle w:val="NormalWeb"/>
        <w:spacing w:after="0" w:line="257" w:lineRule="auto"/>
      </w:pPr>
    </w:p>
    <w:p w14:paraId="4BF8884A" w14:textId="32B5B233" w:rsidR="000912C5" w:rsidRPr="00753DC8" w:rsidRDefault="000912C5" w:rsidP="00CA4D45">
      <w:pPr>
        <w:autoSpaceDE w:val="0"/>
        <w:autoSpaceDN w:val="0"/>
        <w:adjustRightInd w:val="0"/>
        <w:spacing w:after="0" w:line="257" w:lineRule="auto"/>
      </w:pPr>
      <w:r w:rsidRPr="00E20CC6">
        <w:t>The GBT will also be used to better understand the distinction between</w:t>
      </w:r>
      <w:r w:rsidRPr="00753DC8">
        <w:t xml:space="preserve"> complex organic molecules (COM) and complex carbon molecules (CCM). Traditionally, COMs are expected to exist in high mass hot cores, while CCM have been detected toward dark molecular clouds and low mass </w:t>
      </w:r>
      <w:proofErr w:type="spellStart"/>
      <w:r w:rsidRPr="00753DC8">
        <w:t>protostars</w:t>
      </w:r>
      <w:proofErr w:type="spellEnd"/>
      <w:r w:rsidRPr="00753DC8">
        <w:t xml:space="preserve"> (</w:t>
      </w:r>
      <w:r w:rsidRPr="00CA4D45">
        <w:t xml:space="preserve">Suzuki et al. 1992; Sakai et al. 2008, 2009). This leads to the suggestion that in cold molecular clouds CCMs only appear at early times and become deficient as the gas reaches the steady state. </w:t>
      </w:r>
      <w:r w:rsidR="00CA4D45" w:rsidRPr="00CA4D45">
        <w:t>R</w:t>
      </w:r>
      <w:r w:rsidRPr="00CA4D45">
        <w:t>ecent observations have brought this idea into question, leading to the concept of warm c</w:t>
      </w:r>
      <w:r w:rsidRPr="00E20CC6">
        <w:t>omplex carbon molecules. The GB</w:t>
      </w:r>
      <w:r w:rsidRPr="00753DC8">
        <w:t>T’s fantastic sensitivity and resolution in the 80</w:t>
      </w:r>
      <w:r w:rsidR="000070DA">
        <w:t>–</w:t>
      </w:r>
      <w:r w:rsidRPr="00753DC8">
        <w:t xml:space="preserve">100 GHz range will allow it to resolve individual sources, determining the spatial distribution, column </w:t>
      </w:r>
      <w:r w:rsidR="001D7DC3" w:rsidRPr="00753DC8">
        <w:t>densities</w:t>
      </w:r>
      <w:r w:rsidRPr="00753DC8">
        <w:t>, and excitation temperatures of the studied regions and providing significant insight into ou</w:t>
      </w:r>
      <w:r>
        <w:t>r</w:t>
      </w:r>
      <w:r w:rsidRPr="00E20CC6">
        <w:t xml:space="preserve"> understanding of COM</w:t>
      </w:r>
      <w:r w:rsidRPr="00753DC8">
        <w:t xml:space="preserve"> and CCMs.</w:t>
      </w:r>
    </w:p>
    <w:p w14:paraId="18916444" w14:textId="7F71F6DD" w:rsidR="000912C5" w:rsidRDefault="000912C5" w:rsidP="000912C5">
      <w:pPr>
        <w:autoSpaceDE w:val="0"/>
        <w:autoSpaceDN w:val="0"/>
        <w:adjustRightInd w:val="0"/>
        <w:spacing w:after="0" w:line="240" w:lineRule="auto"/>
        <w:jc w:val="left"/>
      </w:pPr>
    </w:p>
    <w:p w14:paraId="52188986" w14:textId="1260C2A8" w:rsidR="00CA4D45" w:rsidRDefault="00CA4D45" w:rsidP="000912C5">
      <w:pPr>
        <w:autoSpaceDE w:val="0"/>
        <w:autoSpaceDN w:val="0"/>
        <w:adjustRightInd w:val="0"/>
        <w:spacing w:after="0" w:line="240" w:lineRule="auto"/>
        <w:jc w:val="left"/>
      </w:pPr>
    </w:p>
    <w:p w14:paraId="25186CDE" w14:textId="6F8B51D0" w:rsidR="00CA4D45" w:rsidRDefault="00CA4D45" w:rsidP="000912C5">
      <w:pPr>
        <w:autoSpaceDE w:val="0"/>
        <w:autoSpaceDN w:val="0"/>
        <w:adjustRightInd w:val="0"/>
        <w:spacing w:after="0" w:line="240" w:lineRule="auto"/>
        <w:jc w:val="left"/>
      </w:pPr>
    </w:p>
    <w:p w14:paraId="3F743680" w14:textId="12A22C8C" w:rsidR="00AF4AE8" w:rsidRPr="00BB5FC1" w:rsidRDefault="00AF4AE8" w:rsidP="00BE3952">
      <w:pPr>
        <w:pStyle w:val="Heading2"/>
      </w:pPr>
      <w:bookmarkStart w:id="61" w:name="_Toc1140123"/>
      <w:bookmarkStart w:id="62" w:name="_Toc2854727"/>
      <w:bookmarkStart w:id="63" w:name="_Toc83886105"/>
      <w:r w:rsidRPr="00BB5FC1">
        <w:lastRenderedPageBreak/>
        <w:t>The Interstellar Medium</w:t>
      </w:r>
      <w:bookmarkEnd w:id="61"/>
      <w:bookmarkEnd w:id="62"/>
      <w:bookmarkEnd w:id="63"/>
    </w:p>
    <w:p w14:paraId="685BA61D" w14:textId="02869A25" w:rsidR="00AF4AE8" w:rsidRPr="00BB5FC1" w:rsidRDefault="00BE2BE6">
      <w:pPr>
        <w:pStyle w:val="NormalWeb"/>
      </w:pPr>
      <w:r w:rsidRPr="00BB5FC1">
        <w:t>An understanding of the interstellar medium (ISM) is essential for many areas of astronomy. Stars and planetary systems form from dense regions of the ISM, and at the end of their lives, stars recycle this material by injecting heavy elements back into th</w:t>
      </w:r>
      <w:r>
        <w:t xml:space="preserve">e ISM in supernova explosions. </w:t>
      </w:r>
      <w:r w:rsidRPr="00BB5FC1">
        <w:t>With its wide frequency coverage, excellent sensitivity, and location in the National Radio Quiet Zone (NRQZ), the GBT has contributed significantly to ISM studies and will continue to do so in the coming years</w:t>
      </w:r>
      <w:r w:rsidR="00AF4AE8" w:rsidRPr="00BB5FC1">
        <w:t xml:space="preserve">. </w:t>
      </w:r>
    </w:p>
    <w:p w14:paraId="1F0089AB" w14:textId="77777777" w:rsidR="00AF4AE8" w:rsidRPr="00BB5FC1" w:rsidRDefault="00AF4AE8">
      <w:pPr>
        <w:pStyle w:val="NormalWeb"/>
      </w:pPr>
    </w:p>
    <w:p w14:paraId="761D449F" w14:textId="27FA0DB4" w:rsidR="000912C5" w:rsidRDefault="00AF4AE8">
      <w:pPr>
        <w:pStyle w:val="NormalWeb"/>
      </w:pPr>
      <w:r w:rsidRPr="00BB5FC1">
        <w:t>In FY202</w:t>
      </w:r>
      <w:r w:rsidR="000912C5">
        <w:t>2</w:t>
      </w:r>
      <w:r w:rsidR="00524AA8">
        <w:t>,</w:t>
      </w:r>
      <w:r w:rsidR="00E60F7D">
        <w:t xml:space="preserve"> </w:t>
      </w:r>
      <w:r w:rsidRPr="00BB5FC1">
        <w:t>the GBT will b</w:t>
      </w:r>
      <w:r w:rsidR="000912C5" w:rsidRPr="00BB5FC1">
        <w:t>e</w:t>
      </w:r>
      <w:r w:rsidR="000912C5">
        <w:t xml:space="preserve">gin a large unbiased molecular absorption survey of the diffuse clouds in front of W49N, a bright Galactic HII region. The goal of this survey is to greatly increase our understanding of the molecular contents of the diffuse ISM, particularly regarding the complex molecular content. This survey will take excellent advantage of the GBT’s incredible sensitivity, detecting molecular absorption </w:t>
      </w:r>
      <w:r w:rsidR="000912C5" w:rsidRPr="00CA4D45">
        <w:rPr>
          <w:spacing w:val="-2"/>
        </w:rPr>
        <w:t>features with optical depths &lt;&lt; 0.1, corresponding to column densities well below anything studied to date.</w:t>
      </w:r>
      <w:r w:rsidR="000912C5">
        <w:t xml:space="preserve">  </w:t>
      </w:r>
    </w:p>
    <w:p w14:paraId="3D9196B2" w14:textId="0D9E66D6" w:rsidR="00AF4AE8" w:rsidRPr="00BB5FC1" w:rsidRDefault="00AF4AE8" w:rsidP="00BE3952">
      <w:pPr>
        <w:pStyle w:val="Heading2"/>
      </w:pPr>
      <w:bookmarkStart w:id="64" w:name="_Toc1140124"/>
      <w:bookmarkStart w:id="65" w:name="_Toc2854728"/>
      <w:bookmarkStart w:id="66" w:name="_Toc83886106"/>
      <w:r w:rsidRPr="00BB5FC1">
        <w:t>Compact Objects and Fundamental Physics</w:t>
      </w:r>
      <w:bookmarkEnd w:id="64"/>
      <w:bookmarkEnd w:id="65"/>
      <w:bookmarkEnd w:id="66"/>
    </w:p>
    <w:p w14:paraId="78E06C15" w14:textId="77777777" w:rsidR="00F31CDF" w:rsidRPr="00BB5FC1" w:rsidRDefault="00F31CDF">
      <w:pPr>
        <w:pStyle w:val="NormalWeb"/>
      </w:pPr>
      <w:bookmarkStart w:id="67" w:name="_Toc1140125"/>
      <w:bookmarkStart w:id="68" w:name="_Toc2854729"/>
      <w:r w:rsidRPr="00BB5FC1">
        <w:t>The rapid, clock-like rotation of pulsars makes them unique tools for studying fundamental physics and stellar evolution. The GBT is a premier instrument worldwide for pulsar studies because of its sensitivity, wide frequency coverage, and location in the NRQZ.</w:t>
      </w:r>
    </w:p>
    <w:p w14:paraId="549F565E" w14:textId="77777777" w:rsidR="00F31CDF" w:rsidRPr="00BB5FC1" w:rsidRDefault="00F31CDF">
      <w:pPr>
        <w:pStyle w:val="NormalWeb"/>
      </w:pPr>
    </w:p>
    <w:p w14:paraId="7FC12DFC" w14:textId="77777777" w:rsidR="00F31CDF" w:rsidRPr="00BB5FC1" w:rsidRDefault="00F31CDF">
      <w:pPr>
        <w:pStyle w:val="NormalWeb"/>
        <w:rPr>
          <w:u w:color="FFFFFF"/>
        </w:rPr>
      </w:pPr>
      <w:r w:rsidRPr="00BB5FC1">
        <w:rPr>
          <w:u w:color="FFFFFF"/>
        </w:rPr>
        <w:t xml:space="preserve">Pulsar studies will usher in the next great era of Gravitational Wave (GW) astronomy by opening the nanohertz GW spectrum, which will be dominated by the most </w:t>
      </w:r>
      <w:r>
        <w:rPr>
          <w:u w:color="FFFFFF"/>
        </w:rPr>
        <w:t>massive objects in the Universe</w:t>
      </w:r>
      <w:r w:rsidRPr="00BB5FC1">
        <w:rPr>
          <w:u w:color="FFFFFF"/>
        </w:rPr>
        <w:t xml:space="preserve">—supermassive binary black holes. This GW breakthrough will be achieved though monitoring the pulse arrival times from dozens of millisecond pulsars with an accuracy of tens to hundreds of nanoseconds over the course of many years using the NANOGrav Pulsar Timing Array (PTA), of which the GBT is a critical component (see McLaughlin 2013 for a review).  </w:t>
      </w:r>
    </w:p>
    <w:p w14:paraId="310E1495" w14:textId="77777777" w:rsidR="00F31CDF" w:rsidRPr="00BB5FC1" w:rsidRDefault="00F31CDF">
      <w:pPr>
        <w:pStyle w:val="NormalWeb"/>
        <w:rPr>
          <w:u w:color="FFFFFF"/>
        </w:rPr>
      </w:pPr>
    </w:p>
    <w:p w14:paraId="043871AC" w14:textId="7B87598A" w:rsidR="00F31CDF" w:rsidRDefault="00F31CDF" w:rsidP="00F3475B">
      <w:pPr>
        <w:pStyle w:val="NormalWeb"/>
        <w:spacing w:after="320" w:line="257" w:lineRule="auto"/>
        <w:rPr>
          <w:u w:color="FFFFFF"/>
        </w:rPr>
      </w:pPr>
      <w:r w:rsidRPr="00BB5FC1">
        <w:rPr>
          <w:u w:color="FFFFFF"/>
        </w:rPr>
        <w:t>The first GW detection in the nanohertz band (expected within five years for even pessimistic models of the GW amplitude; Taylor et al. 2016) will likely be of a stochastic background arising from the superposition of signals from many black ho</w:t>
      </w:r>
      <w:r>
        <w:rPr>
          <w:u w:color="FFFFFF"/>
        </w:rPr>
        <w:t xml:space="preserve">les throughout cosmic history. </w:t>
      </w:r>
      <w:r w:rsidRPr="00BB5FC1">
        <w:rPr>
          <w:u w:color="FFFFFF"/>
        </w:rPr>
        <w:t xml:space="preserve">Details of the GW spectrum will provide important insight into the merger rate of supermassive binary black holes (and hence their host galaxies), as well as the environments in which those mergers occur and how black holes overcome the so-called “last parsec problem.” NANOGrav is already placing </w:t>
      </w:r>
      <w:proofErr w:type="spellStart"/>
      <w:r w:rsidRPr="00BB5FC1">
        <w:rPr>
          <w:u w:color="FFFFFF"/>
        </w:rPr>
        <w:t>astrophysically</w:t>
      </w:r>
      <w:proofErr w:type="spellEnd"/>
      <w:r w:rsidRPr="00BB5FC1">
        <w:rPr>
          <w:u w:color="FFFFFF"/>
        </w:rPr>
        <w:t xml:space="preserve"> important limits on all of the above (</w:t>
      </w:r>
      <w:proofErr w:type="spellStart"/>
      <w:r w:rsidRPr="00BB5FC1">
        <w:rPr>
          <w:u w:color="FFFFFF"/>
        </w:rPr>
        <w:t>Arzoumanian</w:t>
      </w:r>
      <w:proofErr w:type="spellEnd"/>
      <w:r w:rsidRPr="00BB5FC1">
        <w:rPr>
          <w:u w:color="FFFFFF"/>
        </w:rPr>
        <w:t xml:space="preserve"> et al. 2018). Detections of individual supermassive binary black hole systems will likely follow later in the decade, which will enable multi-messe</w:t>
      </w:r>
      <w:r>
        <w:rPr>
          <w:u w:color="FFFFFF"/>
        </w:rPr>
        <w:t xml:space="preserve">nger studies of these systems. </w:t>
      </w:r>
      <w:r w:rsidRPr="00BB5FC1">
        <w:rPr>
          <w:u w:color="FFFFFF"/>
        </w:rPr>
        <w:t>In FY202</w:t>
      </w:r>
      <w:r w:rsidR="00A8499B">
        <w:rPr>
          <w:u w:color="FFFFFF"/>
        </w:rPr>
        <w:t>2</w:t>
      </w:r>
      <w:r>
        <w:rPr>
          <w:u w:color="FFFFFF"/>
        </w:rPr>
        <w:t>,</w:t>
      </w:r>
      <w:r w:rsidRPr="00BB5FC1">
        <w:rPr>
          <w:u w:color="FFFFFF"/>
        </w:rPr>
        <w:t xml:space="preserve"> the GBT will be critical to the continued work by the NANOGrav and International Pulsar Timing Array groups to detect the first GW detection in the </w:t>
      </w:r>
      <w:proofErr w:type="spellStart"/>
      <w:r w:rsidRPr="00BB5FC1">
        <w:rPr>
          <w:u w:color="FFFFFF"/>
        </w:rPr>
        <w:t>NANOHertz</w:t>
      </w:r>
      <w:proofErr w:type="spellEnd"/>
      <w:r w:rsidRPr="00BB5FC1">
        <w:rPr>
          <w:u w:color="FFFFFF"/>
        </w:rPr>
        <w:t xml:space="preserve"> band.</w:t>
      </w:r>
    </w:p>
    <w:p w14:paraId="26EA688E" w14:textId="77777777" w:rsidR="00F31CDF" w:rsidRPr="00BB5FC1" w:rsidRDefault="00F31CDF" w:rsidP="00BE3952">
      <w:pPr>
        <w:pStyle w:val="Heading2"/>
      </w:pPr>
      <w:bookmarkStart w:id="69" w:name="_Toc1140127"/>
      <w:bookmarkStart w:id="70" w:name="_Toc2854731"/>
      <w:bookmarkStart w:id="71" w:name="_Toc83886107"/>
      <w:r w:rsidRPr="00BB5FC1">
        <w:t xml:space="preserve">The Search for </w:t>
      </w:r>
      <w:proofErr w:type="spellStart"/>
      <w:r w:rsidRPr="00BB5FC1">
        <w:t>Technosignatures</w:t>
      </w:r>
      <w:bookmarkEnd w:id="69"/>
      <w:bookmarkEnd w:id="70"/>
      <w:bookmarkEnd w:id="71"/>
      <w:proofErr w:type="spellEnd"/>
    </w:p>
    <w:p w14:paraId="67907469" w14:textId="77777777" w:rsidR="00F31CDF" w:rsidRPr="00BB5FC1" w:rsidRDefault="00F31CDF" w:rsidP="000E21B8">
      <w:r w:rsidRPr="00BB5FC1">
        <w:t xml:space="preserve">The question “Are we alone in the Universe?” is fundamental to our understanding of ourselves. The search for life beyond the solar system can be divided into two primary research areas, astrobiology (the search for complex, life-bearing signatures), and </w:t>
      </w:r>
      <w:proofErr w:type="spellStart"/>
      <w:r w:rsidRPr="00BB5FC1">
        <w:t>technosignatures</w:t>
      </w:r>
      <w:proofErr w:type="spellEnd"/>
      <w:r w:rsidRPr="00BB5FC1">
        <w:t xml:space="preserve"> (the search for signatures of a technological civilization).</w:t>
      </w:r>
    </w:p>
    <w:p w14:paraId="36F25100" w14:textId="35FFB591" w:rsidR="00F31CDF" w:rsidRDefault="00F31CDF" w:rsidP="000E21B8">
      <w:r w:rsidRPr="00BB5FC1">
        <w:lastRenderedPageBreak/>
        <w:t>Recent work (e.g. with the NASA Kepler telescope) has shown that there are potentially billions of habitable worlds within the</w:t>
      </w:r>
      <w:r w:rsidR="001905D9">
        <w:t xml:space="preserve"> Milky Way alone (e.g. </w:t>
      </w:r>
      <w:bookmarkStart w:id="72" w:name="_Hlk82078166"/>
      <w:r w:rsidR="001905D9">
        <w:t>Coughlin</w:t>
      </w:r>
      <w:r w:rsidRPr="00BB5FC1">
        <w:t xml:space="preserve"> et al. 2016</w:t>
      </w:r>
      <w:bookmarkEnd w:id="72"/>
      <w:r w:rsidRPr="00BB5FC1">
        <w:t xml:space="preserve">; Dressing &amp; Charbonneau 2015). This, combined with the knowledge that many of the astrochemical building blocks of life are similarly abundant, suggests that the time is ripe for searching for </w:t>
      </w:r>
      <w:proofErr w:type="spellStart"/>
      <w:r w:rsidRPr="00BB5FC1">
        <w:t>technosignatures</w:t>
      </w:r>
      <w:proofErr w:type="spellEnd"/>
      <w:r w:rsidRPr="00BB5FC1">
        <w:t xml:space="preserve"> emitted from sources within and beyond the Galaxy</w:t>
      </w:r>
      <w:r w:rsidRPr="00BB5FC1">
        <w:rPr>
          <w:b/>
        </w:rPr>
        <w:t xml:space="preserve"> </w:t>
      </w:r>
      <w:r w:rsidRPr="00BB5FC1">
        <w:t>(</w:t>
      </w:r>
      <w:proofErr w:type="spellStart"/>
      <w:r w:rsidRPr="00BB5FC1">
        <w:t>Gelino</w:t>
      </w:r>
      <w:proofErr w:type="spellEnd"/>
      <w:r w:rsidRPr="00BB5FC1">
        <w:t xml:space="preserve"> and Wright 2019).  </w:t>
      </w:r>
    </w:p>
    <w:p w14:paraId="091A486B" w14:textId="77777777" w:rsidR="00F31CDF" w:rsidRPr="00F31CDF" w:rsidRDefault="00F31CDF" w:rsidP="001812E3">
      <w:r w:rsidRPr="00F31CDF">
        <w:t xml:space="preserve">Beginning in 1960 with Project </w:t>
      </w:r>
      <w:proofErr w:type="spellStart"/>
      <w:r w:rsidRPr="00F31CDF">
        <w:t>Ozma’s</w:t>
      </w:r>
      <w:proofErr w:type="spellEnd"/>
      <w:r w:rsidRPr="00F31CDF">
        <w:t xml:space="preserve"> use of the Green Bank </w:t>
      </w:r>
      <w:proofErr w:type="spellStart"/>
      <w:r w:rsidRPr="00F31CDF">
        <w:t>Tatel</w:t>
      </w:r>
      <w:proofErr w:type="spellEnd"/>
      <w:r w:rsidRPr="00F31CDF">
        <w:t xml:space="preserve"> telescope to monitor Tau </w:t>
      </w:r>
      <w:proofErr w:type="spellStart"/>
      <w:r w:rsidRPr="00F31CDF">
        <w:t>Ceti</w:t>
      </w:r>
      <w:proofErr w:type="spellEnd"/>
      <w:r w:rsidRPr="00F31CDF">
        <w:t xml:space="preserve"> and Epsilon </w:t>
      </w:r>
      <w:proofErr w:type="spellStart"/>
      <w:r w:rsidRPr="00F31CDF">
        <w:t>Eridani</w:t>
      </w:r>
      <w:proofErr w:type="spellEnd"/>
      <w:r w:rsidRPr="00F31CDF">
        <w:t xml:space="preserve"> for </w:t>
      </w:r>
      <w:proofErr w:type="spellStart"/>
      <w:r w:rsidRPr="00F31CDF">
        <w:t>technosignatures</w:t>
      </w:r>
      <w:proofErr w:type="spellEnd"/>
      <w:r w:rsidRPr="00F31CDF">
        <w:t xml:space="preserve"> (</w:t>
      </w:r>
      <w:bookmarkStart w:id="73" w:name="_Hlk82078188"/>
      <w:r w:rsidRPr="00F31CDF">
        <w:t>Drake 1961</w:t>
      </w:r>
      <w:bookmarkEnd w:id="73"/>
      <w:r w:rsidRPr="00F31CDF">
        <w:t xml:space="preserve">) and the formulation of the Drake Equation in 1961, the Observatory continues to play a significant role in the search for </w:t>
      </w:r>
      <w:proofErr w:type="spellStart"/>
      <w:r w:rsidRPr="00F31CDF">
        <w:t>technosignatures</w:t>
      </w:r>
      <w:proofErr w:type="spellEnd"/>
      <w:r w:rsidRPr="00F31CDF">
        <w:t xml:space="preserve"> through the present day (e.g., Margot et al 2018; Park et al. 2018; Enriquez et al. 2019; Sheikh, S.Z. et al. 2020 AJ, 160, 29). At present, the majority of the Observatory’s work in </w:t>
      </w:r>
      <w:proofErr w:type="spellStart"/>
      <w:r w:rsidRPr="00F31CDF">
        <w:t>technosignatures</w:t>
      </w:r>
      <w:proofErr w:type="spellEnd"/>
      <w:r w:rsidRPr="00F31CDF">
        <w:t xml:space="preserve"> is through Breakthrough Listen. Breakthrough Listen is using the GBT to survey the 1,000,000 closest stars to Earth, the center of our galaxy, and the entire Galactic plane, as well as the 100 closest galaxies. </w:t>
      </w:r>
    </w:p>
    <w:p w14:paraId="7AF29662" w14:textId="3890A92E" w:rsidR="00F31CDF" w:rsidRPr="00F31CDF" w:rsidRDefault="00F31CDF" w:rsidP="002A17C0">
      <w:pPr>
        <w:spacing w:line="257" w:lineRule="auto"/>
      </w:pPr>
      <w:r w:rsidRPr="00F31CDF">
        <w:t>To date, the Breakthrough Listen team and collaborators have studied approximately 300,000 stars at distances as far as 33,000 light years, vastly farther and deeper than has ever been searched before, and placing the most stringent limits to date on the existence of powerful radio transmitters</w:t>
      </w:r>
      <w:r>
        <w:t xml:space="preserve"> in this region of our Galaxy. </w:t>
      </w:r>
      <w:r w:rsidRPr="00F31CDF">
        <w:t xml:space="preserve">Over the </w:t>
      </w:r>
      <w:r w:rsidR="000912C5">
        <w:t>agreement’s next four</w:t>
      </w:r>
      <w:r w:rsidR="000912C5" w:rsidRPr="00F31CDF">
        <w:t xml:space="preserve"> </w:t>
      </w:r>
      <w:r w:rsidRPr="00F31CDF">
        <w:t>years</w:t>
      </w:r>
      <w:r>
        <w:t>,</w:t>
      </w:r>
      <w:r w:rsidRPr="00F31CDF">
        <w:t xml:space="preserve"> this work will continue, pushing the sensitivity, distance, and types of stars </w:t>
      </w:r>
      <w:r>
        <w:t>to an unprecedented new level (</w:t>
      </w:r>
      <w:r w:rsidR="001905D9">
        <w:t xml:space="preserve">e.g. </w:t>
      </w:r>
      <w:bookmarkStart w:id="74" w:name="_Hlk82078272"/>
      <w:r w:rsidR="001905D9">
        <w:t>Lebofsky, M.</w:t>
      </w:r>
      <w:r w:rsidRPr="00F31CDF">
        <w:t xml:space="preserve"> et al. 2019 an</w:t>
      </w:r>
      <w:r w:rsidR="001905D9">
        <w:t>d Price</w:t>
      </w:r>
      <w:r>
        <w:t xml:space="preserve"> et al. 2020</w:t>
      </w:r>
      <w:bookmarkEnd w:id="74"/>
      <w:r>
        <w:t xml:space="preserve">). </w:t>
      </w:r>
      <w:r w:rsidRPr="00F31CDF">
        <w:t>In FY202</w:t>
      </w:r>
      <w:r w:rsidR="00A8499B">
        <w:t>2</w:t>
      </w:r>
      <w:r w:rsidRPr="00F31CDF">
        <w:t>, the GBT will continue this important work, searching the most promising nearby star</w:t>
      </w:r>
      <w:r w:rsidR="00280841">
        <w:t>s</w:t>
      </w:r>
      <w:r w:rsidRPr="00F31CDF">
        <w:t xml:space="preserve"> for </w:t>
      </w:r>
      <w:proofErr w:type="spellStart"/>
      <w:r w:rsidRPr="00F31CDF">
        <w:t>technosignature</w:t>
      </w:r>
      <w:r>
        <w:t>s</w:t>
      </w:r>
      <w:proofErr w:type="spellEnd"/>
      <w:r w:rsidRPr="00F31CDF">
        <w:t xml:space="preserve"> while also searching the universe for the important precursors of life.</w:t>
      </w:r>
    </w:p>
    <w:p w14:paraId="1CEB25A9" w14:textId="7C717E23" w:rsidR="00AF4AE8" w:rsidRPr="00BB5FC1" w:rsidRDefault="00AF4AE8" w:rsidP="00BE3952">
      <w:pPr>
        <w:pStyle w:val="Heading2"/>
      </w:pPr>
      <w:bookmarkStart w:id="75" w:name="_Toc83886108"/>
      <w:r w:rsidRPr="00BB5FC1">
        <w:t>Galaxy Formation and Evolution</w:t>
      </w:r>
      <w:bookmarkEnd w:id="67"/>
      <w:bookmarkEnd w:id="68"/>
      <w:bookmarkEnd w:id="75"/>
    </w:p>
    <w:p w14:paraId="04108476" w14:textId="733C5E58" w:rsidR="00AF4AE8" w:rsidRDefault="00F31CDF">
      <w:pPr>
        <w:pStyle w:val="NormalWeb"/>
      </w:pPr>
      <w:r w:rsidRPr="00BB5FC1">
        <w:t>The GBT’s sensitivity to diffuse gas makes it an ideal instrument for the study of evolution of galaxies from the local (z=0) through the distant (z&gt;6) Universe. Mapping the distribution and flow of cold gas within clusters and proto-clusters of galaxies, global studies of star formation in nearby galaxies, determining the dynamics of the Galactic Bar, and mapping the HI clouds and bubbles within the Milky Way are just a few of the many ways the GBT will be contributing to our understanding of this important field</w:t>
      </w:r>
      <w:r w:rsidR="00AF4AE8" w:rsidRPr="00BB5FC1">
        <w:t>.</w:t>
      </w:r>
    </w:p>
    <w:p w14:paraId="6DFC4862" w14:textId="0271BF88" w:rsidR="000912C5" w:rsidRDefault="000912C5" w:rsidP="00280841">
      <w:pPr>
        <w:pStyle w:val="NormalWeb"/>
        <w:spacing w:after="0" w:line="257" w:lineRule="auto"/>
      </w:pPr>
    </w:p>
    <w:p w14:paraId="4520EEEA" w14:textId="1B68039B" w:rsidR="000912C5" w:rsidRPr="00E20CC6" w:rsidRDefault="000912C5" w:rsidP="00280841">
      <w:pPr>
        <w:autoSpaceDE w:val="0"/>
        <w:autoSpaceDN w:val="0"/>
        <w:adjustRightInd w:val="0"/>
        <w:spacing w:after="0" w:line="257" w:lineRule="auto"/>
      </w:pPr>
      <w:r>
        <w:t>Understanding the role of molecular gas in stellar and galaxy evolution requires an unbiased survey across all galaxy types. Starting in FY</w:t>
      </w:r>
      <w:r w:rsidR="00280841">
        <w:t>20</w:t>
      </w:r>
      <w:r>
        <w:t>22</w:t>
      </w:r>
      <w:r w:rsidR="00280841">
        <w:t>,</w:t>
      </w:r>
      <w:r>
        <w:t xml:space="preserve"> the GBT will map 150 galaxies nearby galaxies to provide the first unbiased CO imaging survey of z~0 galaxies with log[M</w:t>
      </w:r>
      <w:r w:rsidRPr="00753DC8">
        <w:rPr>
          <w:vertAlign w:val="subscript"/>
        </w:rPr>
        <w:t>*</w:t>
      </w:r>
      <w:r>
        <w:t>/M</w:t>
      </w:r>
      <w:r w:rsidRPr="00753DC8">
        <w:rPr>
          <w:rFonts w:ascii="Lucida Sans Unicode" w:hAnsi="Lucida Sans Unicode" w:cs="Lucida Sans Unicode"/>
          <w:vertAlign w:val="subscript"/>
        </w:rPr>
        <w:t>⊙</w:t>
      </w:r>
      <w:r w:rsidRPr="00E20CC6">
        <w:t xml:space="preserve">]=9-15.  This </w:t>
      </w:r>
      <w:r w:rsidRPr="00753DC8">
        <w:t xml:space="preserve">data will be combined with optical spectroscopy and other molecular studies to directly test predictions of evolutionary models (e.g. </w:t>
      </w:r>
      <w:r w:rsidRPr="00753DC8">
        <w:rPr>
          <w:rFonts w:cs="CMR10"/>
        </w:rPr>
        <w:t>Barrera-Ballesteros et al. 2018) and provide an unbiased sample to understand the true nature of galaxies at z~0.</w:t>
      </w:r>
    </w:p>
    <w:p w14:paraId="08B661F6" w14:textId="77777777" w:rsidR="00AF4AE8" w:rsidRPr="00BB5FC1" w:rsidRDefault="00AF4AE8">
      <w:pPr>
        <w:pStyle w:val="NormalWeb"/>
      </w:pPr>
    </w:p>
    <w:p w14:paraId="57D8CB98" w14:textId="3ADD7F12" w:rsidR="00AF4AE8" w:rsidRPr="00280841" w:rsidRDefault="00F31CDF" w:rsidP="00280841">
      <w:pPr>
        <w:pStyle w:val="NormalWeb"/>
        <w:spacing w:line="257" w:lineRule="auto"/>
        <w:rPr>
          <w:spacing w:val="-2"/>
        </w:rPr>
      </w:pPr>
      <w:r w:rsidRPr="00280841">
        <w:rPr>
          <w:spacing w:val="-2"/>
        </w:rPr>
        <w:t xml:space="preserve">Spiral galaxies like the Milky Way are known to have an extensive </w:t>
      </w:r>
      <w:proofErr w:type="spellStart"/>
      <w:r w:rsidRPr="00280841">
        <w:rPr>
          <w:spacing w:val="-2"/>
        </w:rPr>
        <w:t>circumgalactic</w:t>
      </w:r>
      <w:proofErr w:type="spellEnd"/>
      <w:r w:rsidRPr="00280841">
        <w:rPr>
          <w:spacing w:val="-2"/>
        </w:rPr>
        <w:t xml:space="preserve"> medium (CGM) that may contain a significant percent o</w:t>
      </w:r>
      <w:r w:rsidR="001905D9" w:rsidRPr="00280841">
        <w:rPr>
          <w:spacing w:val="-2"/>
        </w:rPr>
        <w:t>f the baryons of a galaxy (</w:t>
      </w:r>
      <w:proofErr w:type="spellStart"/>
      <w:r w:rsidR="001905D9" w:rsidRPr="00280841">
        <w:rPr>
          <w:spacing w:val="-2"/>
        </w:rPr>
        <w:t>Werk</w:t>
      </w:r>
      <w:proofErr w:type="spellEnd"/>
      <w:r w:rsidRPr="00280841">
        <w:rPr>
          <w:spacing w:val="-2"/>
        </w:rPr>
        <w:t xml:space="preserve"> et al. 2014). The Milky Way’s CGM includes HI high velocity clouds and the Magellanic Stream, whose properties are still not well known (Putman, et al. 2012). With its high sensitivity to faint HI emission, the GBT will be used to map the </w:t>
      </w:r>
      <w:r w:rsidR="000912C5" w:rsidRPr="00280841">
        <w:rPr>
          <w:spacing w:val="-2"/>
        </w:rPr>
        <w:t>molecular gas</w:t>
      </w:r>
      <w:r w:rsidRPr="00280841">
        <w:rPr>
          <w:spacing w:val="-2"/>
        </w:rPr>
        <w:t xml:space="preserve"> of the Milky Way</w:t>
      </w:r>
      <w:r w:rsidR="000912C5" w:rsidRPr="00280841">
        <w:rPr>
          <w:spacing w:val="-2"/>
        </w:rPr>
        <w:t xml:space="preserve">, providing ever better maps of the spiral arms and star formation regions. Looking at the cold atomic gas, the GBT will also map to incredibly high levels the gas ejection from the center of our Galaxy. </w:t>
      </w:r>
      <w:r w:rsidR="00AF4AE8" w:rsidRPr="00280841">
        <w:rPr>
          <w:spacing w:val="-2"/>
        </w:rPr>
        <w:t xml:space="preserve"> </w:t>
      </w:r>
    </w:p>
    <w:p w14:paraId="33076D05" w14:textId="77777777" w:rsidR="00AF4AE8" w:rsidRPr="00BB5FC1" w:rsidRDefault="00AF4AE8">
      <w:pPr>
        <w:pStyle w:val="NormalWeb"/>
      </w:pPr>
    </w:p>
    <w:p w14:paraId="3EEE3AC0" w14:textId="783BC09A" w:rsidR="00AF4AE8" w:rsidRPr="00BB5FC1" w:rsidRDefault="00AF4AE8">
      <w:pPr>
        <w:pStyle w:val="NormalWeb"/>
      </w:pPr>
      <w:r w:rsidRPr="006F5933">
        <w:t>With masses in the range 10</w:t>
      </w:r>
      <w:r w:rsidRPr="006F5933">
        <w:rPr>
          <w:vertAlign w:val="superscript"/>
        </w:rPr>
        <w:t>6</w:t>
      </w:r>
      <w:r w:rsidRPr="006F5933">
        <w:t>–10</w:t>
      </w:r>
      <w:r w:rsidRPr="006F5933">
        <w:rPr>
          <w:vertAlign w:val="superscript"/>
        </w:rPr>
        <w:t>9</w:t>
      </w:r>
      <w:r w:rsidRPr="006F5933">
        <w:t xml:space="preserve"> M</w:t>
      </w:r>
      <w:r w:rsidR="006F5933" w:rsidRPr="006F5933">
        <w:rPr>
          <w:rFonts w:ascii="Lucida Sans Unicode" w:hAnsi="Lucida Sans Unicode" w:cs="Lucida Sans Unicode"/>
          <w:vertAlign w:val="subscript"/>
        </w:rPr>
        <w:t>⊙</w:t>
      </w:r>
      <w:r w:rsidRPr="006F5933">
        <w:t xml:space="preserve">, supermassive black holes (SMBHs) are the most massive compact objects in the Universe. They lurk in galaxy centers, accreting inflowing gas, and powering radio jets that </w:t>
      </w:r>
      <w:r w:rsidRPr="00BB5FC1">
        <w:lastRenderedPageBreak/>
        <w:t>regulate their further accretion as well as star formation. Many black holes are surrounded by accretion disks within which molecular gas produces bright H</w:t>
      </w:r>
      <w:r w:rsidRPr="00BB5FC1">
        <w:rPr>
          <w:vertAlign w:val="subscript"/>
        </w:rPr>
        <w:t>2</w:t>
      </w:r>
      <w:r w:rsidRPr="00BB5FC1">
        <w:t xml:space="preserve">O maser emission. The GBT has been the most productive instrument for detecting these masers. Using Very Long Baseline Interferometry (VLBI) techniques, the velocity structure of masers in the nuclei of </w:t>
      </w:r>
      <w:r w:rsidRPr="00BB5FC1">
        <w:rPr>
          <w:rFonts w:cs="Calibri"/>
        </w:rPr>
        <w:t>active galactic nuclei</w:t>
      </w:r>
      <w:r w:rsidRPr="00BB5FC1">
        <w:t xml:space="preserve"> (AGN) will be used to measure very accurate black</w:t>
      </w:r>
      <w:r w:rsidR="006F279C">
        <w:t xml:space="preserve"> </w:t>
      </w:r>
      <w:r w:rsidRPr="00BB5FC1">
        <w:t>hole masses or even i</w:t>
      </w:r>
      <w:r w:rsidR="001905D9">
        <w:t xml:space="preserve">nfer direct distances (e.g. </w:t>
      </w:r>
      <w:bookmarkStart w:id="76" w:name="_Hlk82078317"/>
      <w:r w:rsidR="001905D9">
        <w:t>Gao</w:t>
      </w:r>
      <w:r w:rsidRPr="00BB5FC1">
        <w:t xml:space="preserve"> et al. 2017</w:t>
      </w:r>
      <w:bookmarkEnd w:id="76"/>
      <w:r w:rsidRPr="00BB5FC1">
        <w:t>). Without the sensitivity of the GBT, VLBI studies of these masers would not be possible, and this work will continue into FY202</w:t>
      </w:r>
      <w:r w:rsidR="00A8499B">
        <w:t>2</w:t>
      </w:r>
      <w:r w:rsidRPr="00BB5FC1">
        <w:t xml:space="preserve"> as more H</w:t>
      </w:r>
      <w:r w:rsidRPr="00F31CDF">
        <w:rPr>
          <w:vertAlign w:val="subscript"/>
        </w:rPr>
        <w:t>2</w:t>
      </w:r>
      <w:r w:rsidRPr="00BB5FC1">
        <w:t>O masers are detected.</w:t>
      </w:r>
    </w:p>
    <w:p w14:paraId="0C081DB6" w14:textId="37EA4BCD" w:rsidR="00AF4AE8" w:rsidRPr="00BB5FC1" w:rsidRDefault="00AF4AE8" w:rsidP="00BE3952">
      <w:pPr>
        <w:pStyle w:val="Heading2"/>
      </w:pPr>
      <w:bookmarkStart w:id="77" w:name="_Toc1140126"/>
      <w:bookmarkStart w:id="78" w:name="_Toc2854730"/>
      <w:bookmarkStart w:id="79" w:name="_Toc83886109"/>
      <w:r w:rsidRPr="00BB5FC1">
        <w:t>Galaxy Clusters</w:t>
      </w:r>
      <w:bookmarkEnd w:id="77"/>
      <w:bookmarkEnd w:id="78"/>
      <w:bookmarkEnd w:id="79"/>
    </w:p>
    <w:p w14:paraId="2E68746F" w14:textId="77777777" w:rsidR="00AF4AE8" w:rsidRPr="00BB5FC1" w:rsidRDefault="00AF4AE8" w:rsidP="00BE3952">
      <w:pPr>
        <w:pStyle w:val="NormalWeb"/>
        <w:spacing w:line="257" w:lineRule="auto"/>
      </w:pPr>
      <w:r w:rsidRPr="00BB5FC1">
        <w:t>The collapse of galaxy clusters is driven by the strongest fluctuations in the primordial matter power spectrum. As direct tracers of fluctuations in the early Universe, clusters are important signposts of the large-scale spatial distribution of dark matter, and therefore provide one of the most sensitive probes of the unknown equation of state of dark energy. Galaxy clusters are rich laboratories for astrophysical phenomena such as shocks and cold fronts, sloshing of the gas within a cluster’s dark matter potential, sub-clustering, and X-ray cavities/radio lobes (Bally et al. 2016 and references therein).</w:t>
      </w:r>
    </w:p>
    <w:p w14:paraId="6BB920E1" w14:textId="1713F628" w:rsidR="00AF4AE8" w:rsidRPr="00BB5FC1" w:rsidRDefault="00AF4AE8" w:rsidP="00280841">
      <w:r w:rsidRPr="00BB5FC1">
        <w:t xml:space="preserve">The </w:t>
      </w:r>
      <w:proofErr w:type="spellStart"/>
      <w:r w:rsidRPr="00BB5FC1">
        <w:t>Sunyaev-Zeldovich</w:t>
      </w:r>
      <w:proofErr w:type="spellEnd"/>
      <w:r w:rsidRPr="00BB5FC1">
        <w:t xml:space="preserve"> Effect (SZE) provides a tool for studying the hot gas in clusters that is uniquely redshift-independent due to its nature as a fractional scattering of the cosmic microwave background.</w:t>
      </w:r>
      <w:r w:rsidR="000912C5" w:rsidRPr="000912C5">
        <w:t xml:space="preserve"> </w:t>
      </w:r>
      <w:r w:rsidR="000912C5">
        <w:t>In FY</w:t>
      </w:r>
      <w:r w:rsidR="00280841">
        <w:t>20</w:t>
      </w:r>
      <w:r w:rsidR="000912C5">
        <w:t>22</w:t>
      </w:r>
      <w:r w:rsidR="00280841">
        <w:t>,</w:t>
      </w:r>
      <w:r w:rsidR="000912C5">
        <w:t xml:space="preserve"> the GBT will use the SZE to constrain the physical and thermodynamics of galaxy clusters, including directly studying the mechanism of electronic heating across shock fronts. </w:t>
      </w:r>
      <w:r w:rsidRPr="00BB5FC1">
        <w:t>The large format MUSTANG-2</w:t>
      </w:r>
      <w:r w:rsidR="00280841">
        <w:t xml:space="preserve"> (</w:t>
      </w:r>
      <w:r w:rsidR="00280841" w:rsidRPr="00EA444B">
        <w:t>Multiplexed SQUID/TES Array for Ninety Gigahertz</w:t>
      </w:r>
      <w:r w:rsidR="00280841">
        <w:t>)</w:t>
      </w:r>
      <w:r w:rsidRPr="00BB5FC1">
        <w:t xml:space="preserve"> bolometer camera on the GBT will measure the SZE at 3mm with uniquely high sensitivity at an angular resolution of 10</w:t>
      </w:r>
      <w:r w:rsidRPr="00BB5FC1">
        <w:rPr>
          <w:rFonts w:ascii="Arial" w:hAnsi="Arial" w:cs="Arial"/>
        </w:rPr>
        <w:t>ʺ</w:t>
      </w:r>
      <w:r w:rsidRPr="00BB5FC1">
        <w:t>, testing predictions for the SZE signal in detail.</w:t>
      </w:r>
    </w:p>
    <w:p w14:paraId="0A731421" w14:textId="485EF7DB" w:rsidR="00AF4AE8" w:rsidRPr="006F279C" w:rsidRDefault="0032518A" w:rsidP="00280841">
      <w:pPr>
        <w:pStyle w:val="Default"/>
        <w:pBdr>
          <w:left w:val="nil"/>
        </w:pBdr>
        <w:spacing w:line="257" w:lineRule="auto"/>
        <w:jc w:val="both"/>
        <w:rPr>
          <w:rFonts w:cs="Calibri"/>
          <w:color w:val="auto"/>
          <w:spacing w:val="2"/>
          <w:sz w:val="22"/>
          <w:szCs w:val="22"/>
        </w:rPr>
      </w:pPr>
      <w:r>
        <w:rPr>
          <w:rFonts w:cs="Calibri"/>
          <w:color w:val="auto"/>
          <w:spacing w:val="2"/>
          <w:sz w:val="22"/>
          <w:szCs w:val="22"/>
        </w:rPr>
        <w:t>In FY202</w:t>
      </w:r>
      <w:r w:rsidR="00174FEA">
        <w:rPr>
          <w:rFonts w:cs="Calibri"/>
          <w:color w:val="auto"/>
          <w:spacing w:val="2"/>
          <w:sz w:val="22"/>
          <w:szCs w:val="22"/>
        </w:rPr>
        <w:t>2</w:t>
      </w:r>
      <w:r w:rsidR="006F279C" w:rsidRPr="006F279C">
        <w:rPr>
          <w:rFonts w:cs="Calibri"/>
          <w:color w:val="auto"/>
          <w:spacing w:val="2"/>
          <w:sz w:val="22"/>
          <w:szCs w:val="22"/>
        </w:rPr>
        <w:t>,</w:t>
      </w:r>
      <w:r w:rsidR="00AF4AE8" w:rsidRPr="006F279C">
        <w:rPr>
          <w:rFonts w:cs="Calibri"/>
          <w:color w:val="auto"/>
          <w:spacing w:val="2"/>
          <w:sz w:val="22"/>
          <w:szCs w:val="22"/>
        </w:rPr>
        <w:t xml:space="preserve"> the GBT will </w:t>
      </w:r>
      <w:r w:rsidR="000912C5">
        <w:rPr>
          <w:rFonts w:cs="Calibri"/>
          <w:color w:val="auto"/>
          <w:spacing w:val="2"/>
          <w:sz w:val="22"/>
          <w:szCs w:val="22"/>
        </w:rPr>
        <w:t>continue</w:t>
      </w:r>
      <w:r w:rsidR="00AF4AE8" w:rsidRPr="006F279C">
        <w:rPr>
          <w:rFonts w:cs="Calibri"/>
          <w:color w:val="auto"/>
          <w:spacing w:val="2"/>
          <w:sz w:val="22"/>
          <w:szCs w:val="22"/>
        </w:rPr>
        <w:t xml:space="preserve"> observing as part of the</w:t>
      </w:r>
      <w:r w:rsidR="00280841">
        <w:rPr>
          <w:rFonts w:cs="Calibri"/>
          <w:color w:val="auto"/>
          <w:spacing w:val="2"/>
          <w:sz w:val="22"/>
          <w:szCs w:val="22"/>
        </w:rPr>
        <w:t xml:space="preserve"> Massive and Distant Clusters of WISE Survey</w:t>
      </w:r>
      <w:r w:rsidR="00AF4AE8" w:rsidRPr="006F279C">
        <w:rPr>
          <w:rFonts w:cs="Calibri"/>
          <w:color w:val="auto"/>
          <w:spacing w:val="2"/>
          <w:sz w:val="22"/>
          <w:szCs w:val="22"/>
        </w:rPr>
        <w:t xml:space="preserve"> </w:t>
      </w:r>
      <w:r w:rsidR="00280841">
        <w:rPr>
          <w:rFonts w:cs="Calibri"/>
          <w:color w:val="auto"/>
          <w:spacing w:val="2"/>
          <w:sz w:val="22"/>
          <w:szCs w:val="22"/>
        </w:rPr>
        <w:t>(</w:t>
      </w:r>
      <w:r w:rsidR="00AF4AE8" w:rsidRPr="006F279C">
        <w:rPr>
          <w:rFonts w:cs="Calibri"/>
          <w:color w:val="auto"/>
          <w:spacing w:val="2"/>
          <w:sz w:val="22"/>
          <w:szCs w:val="22"/>
        </w:rPr>
        <w:t>MaDCoWS</w:t>
      </w:r>
      <w:r w:rsidR="00280841">
        <w:rPr>
          <w:rFonts w:cs="Calibri"/>
          <w:color w:val="auto"/>
          <w:spacing w:val="2"/>
          <w:sz w:val="22"/>
          <w:szCs w:val="22"/>
        </w:rPr>
        <w:t>)</w:t>
      </w:r>
      <w:r w:rsidR="00AF4AE8" w:rsidRPr="006F279C">
        <w:rPr>
          <w:rFonts w:cs="Calibri"/>
          <w:color w:val="auto"/>
          <w:spacing w:val="2"/>
          <w:sz w:val="22"/>
          <w:szCs w:val="22"/>
        </w:rPr>
        <w:t xml:space="preserve"> project, a comprehensive program to detect and characterize the most massive galaxy clusters in th</w:t>
      </w:r>
      <w:r w:rsidR="00F31CDF">
        <w:rPr>
          <w:rFonts w:cs="Calibri"/>
          <w:color w:val="auto"/>
          <w:spacing w:val="2"/>
          <w:sz w:val="22"/>
          <w:szCs w:val="22"/>
        </w:rPr>
        <w:t>e universe at z~</w:t>
      </w:r>
      <w:r w:rsidR="006F279C" w:rsidRPr="006F279C">
        <w:rPr>
          <w:rFonts w:cs="Calibri"/>
          <w:color w:val="auto"/>
          <w:spacing w:val="2"/>
          <w:sz w:val="22"/>
          <w:szCs w:val="22"/>
        </w:rPr>
        <w:t xml:space="preserve">1 and above. </w:t>
      </w:r>
      <w:r w:rsidR="00AF4AE8" w:rsidRPr="006F279C">
        <w:rPr>
          <w:rFonts w:cs="Calibri"/>
          <w:color w:val="auto"/>
          <w:spacing w:val="2"/>
          <w:sz w:val="22"/>
          <w:szCs w:val="22"/>
        </w:rPr>
        <w:t>The goal of the program is to understand cluster mass scaling relations, identify high mass clusters that can be sued for cosmological and strong lensing studies, and study the evolution of massive galaxies in over-dense environments.</w:t>
      </w:r>
    </w:p>
    <w:p w14:paraId="7BD7F646" w14:textId="77777777" w:rsidR="00AF4AE8" w:rsidRPr="00BB5FC1" w:rsidRDefault="00AF4AE8" w:rsidP="00777E1D">
      <w:pPr>
        <w:pStyle w:val="Default"/>
        <w:pBdr>
          <w:left w:val="nil"/>
        </w:pBdr>
        <w:jc w:val="both"/>
        <w:rPr>
          <w:rFonts w:cs="Calibri"/>
        </w:rPr>
      </w:pPr>
    </w:p>
    <w:p w14:paraId="03513948" w14:textId="052934A9" w:rsidR="003820C3" w:rsidRPr="00EA444B" w:rsidRDefault="00502FCE" w:rsidP="000E21B8">
      <w:r w:rsidRPr="00BB5FC1">
        <w:br w:type="page"/>
      </w:r>
    </w:p>
    <w:p w14:paraId="722951BA" w14:textId="3149E786" w:rsidR="00964FC9" w:rsidRPr="00421B6A" w:rsidRDefault="00FE7B52" w:rsidP="00BE3952">
      <w:pPr>
        <w:pStyle w:val="Heading1"/>
      </w:pPr>
      <w:bookmarkStart w:id="80" w:name="_Toc535924652"/>
      <w:bookmarkStart w:id="81" w:name="_Toc535924808"/>
      <w:bookmarkStart w:id="82" w:name="_Toc535925774"/>
      <w:bookmarkStart w:id="83" w:name="_Toc535931401"/>
      <w:bookmarkStart w:id="84" w:name="_Toc535932328"/>
      <w:bookmarkStart w:id="85" w:name="_Toc535932622"/>
      <w:bookmarkStart w:id="86" w:name="_Toc535936058"/>
      <w:bookmarkStart w:id="87" w:name="_Toc535936224"/>
      <w:bookmarkStart w:id="88" w:name="_Toc535936134"/>
      <w:bookmarkStart w:id="89" w:name="_Toc535936487"/>
      <w:bookmarkStart w:id="90" w:name="_Toc536007048"/>
      <w:bookmarkStart w:id="91" w:name="_Toc536007438"/>
      <w:bookmarkStart w:id="92" w:name="_Toc536007828"/>
      <w:bookmarkStart w:id="93" w:name="_Toc631150"/>
      <w:bookmarkStart w:id="94" w:name="_Toc636949"/>
      <w:bookmarkStart w:id="95" w:name="_Toc637311"/>
      <w:bookmarkStart w:id="96" w:name="_Toc637672"/>
      <w:bookmarkStart w:id="97" w:name="_Toc637873"/>
      <w:bookmarkStart w:id="98" w:name="_Toc638069"/>
      <w:bookmarkStart w:id="99" w:name="_Toc638632"/>
      <w:bookmarkStart w:id="100" w:name="_Toc638990"/>
      <w:bookmarkStart w:id="101" w:name="_Toc639184"/>
      <w:bookmarkStart w:id="102" w:name="_Toc639383"/>
      <w:bookmarkStart w:id="103" w:name="_Toc788029"/>
      <w:bookmarkStart w:id="104" w:name="_Toc631151"/>
      <w:bookmarkStart w:id="105" w:name="_Toc636950"/>
      <w:bookmarkStart w:id="106" w:name="_Toc637312"/>
      <w:bookmarkStart w:id="107" w:name="_Toc637673"/>
      <w:bookmarkStart w:id="108" w:name="_Toc637874"/>
      <w:bookmarkStart w:id="109" w:name="_Toc638070"/>
      <w:bookmarkStart w:id="110" w:name="_Toc638633"/>
      <w:bookmarkStart w:id="111" w:name="_Toc638991"/>
      <w:bookmarkStart w:id="112" w:name="_Toc639185"/>
      <w:bookmarkStart w:id="113" w:name="_Toc639384"/>
      <w:bookmarkStart w:id="114" w:name="_Toc788030"/>
      <w:bookmarkStart w:id="115" w:name="_Toc1052113"/>
      <w:bookmarkStart w:id="116" w:name="_Toc1140135"/>
      <w:bookmarkStart w:id="117" w:name="_Toc2078198"/>
      <w:bookmarkStart w:id="118" w:name="_Toc2078199"/>
      <w:bookmarkStart w:id="119" w:name="_Toc2078200"/>
      <w:bookmarkStart w:id="120" w:name="_Toc2078201"/>
      <w:bookmarkStart w:id="121" w:name="_Toc502314335"/>
      <w:bookmarkStart w:id="122" w:name="_Toc502314568"/>
      <w:bookmarkStart w:id="123" w:name="_Toc2078202"/>
      <w:bookmarkStart w:id="124" w:name="_Toc2078203"/>
      <w:bookmarkStart w:id="125" w:name="_Toc2078204"/>
      <w:bookmarkStart w:id="126" w:name="_Toc2078205"/>
      <w:bookmarkStart w:id="127" w:name="_Toc2078206"/>
      <w:bookmarkStart w:id="128" w:name="_Toc2078207"/>
      <w:bookmarkStart w:id="129" w:name="_Toc502314337"/>
      <w:bookmarkStart w:id="130" w:name="_Toc502314570"/>
      <w:bookmarkStart w:id="131" w:name="_Toc2078208"/>
      <w:bookmarkStart w:id="132" w:name="_Toc2078209"/>
      <w:bookmarkStart w:id="133" w:name="_Toc2078210"/>
      <w:bookmarkStart w:id="134" w:name="_Toc2078211"/>
      <w:bookmarkStart w:id="135" w:name="_Toc2078212"/>
      <w:bookmarkStart w:id="136" w:name="_Toc2078213"/>
      <w:bookmarkStart w:id="137" w:name="_Toc2078214"/>
      <w:bookmarkStart w:id="138" w:name="_Toc2078215"/>
      <w:bookmarkStart w:id="139" w:name="_Toc2078216"/>
      <w:bookmarkStart w:id="140" w:name="_Toc2078217"/>
      <w:bookmarkStart w:id="141" w:name="_Toc2078218"/>
      <w:bookmarkStart w:id="142" w:name="_Toc2078219"/>
      <w:bookmarkStart w:id="143" w:name="_Toc2078220"/>
      <w:bookmarkStart w:id="144" w:name="_Toc2078221"/>
      <w:bookmarkStart w:id="145" w:name="_Toc2078222"/>
      <w:bookmarkStart w:id="146" w:name="_Toc2078223"/>
      <w:bookmarkStart w:id="147" w:name="_Toc2078224"/>
      <w:bookmarkStart w:id="148" w:name="_Toc2078225"/>
      <w:bookmarkStart w:id="149" w:name="_Toc2078226"/>
      <w:bookmarkStart w:id="150" w:name="_Toc2078227"/>
      <w:bookmarkStart w:id="151" w:name="_Toc2078228"/>
      <w:bookmarkStart w:id="152" w:name="_Toc2078229"/>
      <w:bookmarkStart w:id="153" w:name="_Toc2078230"/>
      <w:bookmarkStart w:id="154" w:name="_Toc2078231"/>
      <w:bookmarkStart w:id="155" w:name="_Toc2078232"/>
      <w:bookmarkStart w:id="156" w:name="_Toc2078233"/>
      <w:bookmarkStart w:id="157" w:name="_Toc2078234"/>
      <w:bookmarkStart w:id="158" w:name="_Toc2078235"/>
      <w:bookmarkStart w:id="159" w:name="_Toc2078236"/>
      <w:bookmarkStart w:id="160" w:name="_Toc2078237"/>
      <w:bookmarkStart w:id="161" w:name="_Toc2078238"/>
      <w:bookmarkStart w:id="162" w:name="_Toc2078239"/>
      <w:bookmarkStart w:id="163" w:name="_Toc2078240"/>
      <w:bookmarkStart w:id="164" w:name="_Toc2078241"/>
      <w:bookmarkStart w:id="165" w:name="_Toc2078242"/>
      <w:bookmarkStart w:id="166" w:name="_Toc2078243"/>
      <w:bookmarkStart w:id="167" w:name="_Toc2078244"/>
      <w:bookmarkStart w:id="168" w:name="_Toc2078245"/>
      <w:bookmarkStart w:id="169" w:name="_Toc2078246"/>
      <w:bookmarkStart w:id="170" w:name="_Toc2078247"/>
      <w:bookmarkStart w:id="171" w:name="_Toc2078248"/>
      <w:bookmarkStart w:id="172" w:name="_Toc631167"/>
      <w:bookmarkStart w:id="173" w:name="_Toc636966"/>
      <w:bookmarkStart w:id="174" w:name="_Toc637328"/>
      <w:bookmarkStart w:id="175" w:name="_Toc637690"/>
      <w:bookmarkStart w:id="176" w:name="_Toc637890"/>
      <w:bookmarkStart w:id="177" w:name="_Toc638086"/>
      <w:bookmarkStart w:id="178" w:name="_Toc638649"/>
      <w:bookmarkStart w:id="179" w:name="_Toc639007"/>
      <w:bookmarkStart w:id="180" w:name="_Toc639202"/>
      <w:bookmarkStart w:id="181" w:name="_Toc639398"/>
      <w:bookmarkStart w:id="182" w:name="_Toc788044"/>
      <w:bookmarkStart w:id="183" w:name="_Toc2078249"/>
      <w:bookmarkStart w:id="184" w:name="_Toc2078250"/>
      <w:bookmarkStart w:id="185" w:name="_Toc2078251"/>
      <w:bookmarkStart w:id="186" w:name="_Toc2078252"/>
      <w:bookmarkStart w:id="187" w:name="_Toc2078253"/>
      <w:bookmarkStart w:id="188" w:name="_Toc2078254"/>
      <w:bookmarkStart w:id="189" w:name="_Toc2078255"/>
      <w:bookmarkStart w:id="190" w:name="_Toc2078256"/>
      <w:bookmarkStart w:id="191" w:name="_Toc2078257"/>
      <w:bookmarkStart w:id="192" w:name="_Toc2078258"/>
      <w:bookmarkStart w:id="193" w:name="_Toc2078259"/>
      <w:bookmarkStart w:id="194" w:name="_Toc2078260"/>
      <w:bookmarkStart w:id="195" w:name="_Toc2078261"/>
      <w:bookmarkStart w:id="196" w:name="_Toc1052121"/>
      <w:bookmarkStart w:id="197" w:name="_Toc1140143"/>
      <w:bookmarkStart w:id="198" w:name="_Toc2078262"/>
      <w:bookmarkStart w:id="199" w:name="_Toc2078263"/>
      <w:bookmarkStart w:id="200" w:name="_Toc2078264"/>
      <w:bookmarkStart w:id="201" w:name="_Toc2078265"/>
      <w:bookmarkStart w:id="202" w:name="_Toc2078266"/>
      <w:bookmarkStart w:id="203" w:name="_Toc1052123"/>
      <w:bookmarkStart w:id="204" w:name="_Toc1140145"/>
      <w:bookmarkStart w:id="205" w:name="_Toc2078267"/>
      <w:bookmarkStart w:id="206" w:name="_Toc2078268"/>
      <w:bookmarkStart w:id="207" w:name="_Toc2078269"/>
      <w:bookmarkStart w:id="208" w:name="_Toc2078270"/>
      <w:bookmarkStart w:id="209" w:name="_Toc2078271"/>
      <w:bookmarkStart w:id="210" w:name="_Toc2078272"/>
      <w:bookmarkStart w:id="211" w:name="_Toc2078273"/>
      <w:bookmarkStart w:id="212" w:name="_Toc2078274"/>
      <w:bookmarkStart w:id="213" w:name="_Toc2078275"/>
      <w:bookmarkStart w:id="214" w:name="_Toc2078276"/>
      <w:bookmarkStart w:id="215" w:name="_Toc2078277"/>
      <w:bookmarkStart w:id="216" w:name="_Toc2078278"/>
      <w:bookmarkStart w:id="217" w:name="_Toc2078279"/>
      <w:bookmarkStart w:id="218" w:name="_Toc2078280"/>
      <w:bookmarkStart w:id="219" w:name="_Toc2078281"/>
      <w:bookmarkStart w:id="220" w:name="_Toc1052125"/>
      <w:bookmarkStart w:id="221" w:name="_Toc1140147"/>
      <w:bookmarkStart w:id="222" w:name="_Toc788050"/>
      <w:bookmarkStart w:id="223" w:name="_Toc788051"/>
      <w:bookmarkStart w:id="224" w:name="_Toc535931421"/>
      <w:bookmarkStart w:id="225" w:name="_Toc535932642"/>
      <w:bookmarkStart w:id="226" w:name="_Toc535936078"/>
      <w:bookmarkStart w:id="227" w:name="_Toc535936244"/>
      <w:bookmarkStart w:id="228" w:name="_Toc535936161"/>
      <w:bookmarkStart w:id="229" w:name="_Toc535936507"/>
      <w:bookmarkStart w:id="230" w:name="_Toc536007068"/>
      <w:bookmarkStart w:id="231" w:name="_Toc536007458"/>
      <w:bookmarkStart w:id="232" w:name="_Toc536007848"/>
      <w:bookmarkStart w:id="233" w:name="_Toc535936162"/>
      <w:bookmarkStart w:id="234" w:name="_Toc337091"/>
      <w:bookmarkStart w:id="235" w:name="_Toc83886110"/>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EA444B">
        <w:lastRenderedPageBreak/>
        <w:t xml:space="preserve">THE </w:t>
      </w:r>
      <w:r w:rsidR="00ED67D9" w:rsidRPr="00EA444B">
        <w:t xml:space="preserve">ROBERT </w:t>
      </w:r>
      <w:r w:rsidR="00576C87" w:rsidRPr="00EA444B">
        <w:t xml:space="preserve">C. </w:t>
      </w:r>
      <w:r w:rsidR="00ED67D9" w:rsidRPr="00EA444B">
        <w:t xml:space="preserve">BYRD </w:t>
      </w:r>
      <w:r w:rsidRPr="00EA444B">
        <w:t>GREEN BANK TELESCOPE</w:t>
      </w:r>
      <w:r w:rsidR="00A868AE" w:rsidRPr="00EA444B">
        <w:t xml:space="preserve"> (GBT)</w:t>
      </w:r>
      <w:bookmarkStart w:id="236" w:name="_Toc535936163"/>
      <w:bookmarkStart w:id="237" w:name="_Toc337092"/>
      <w:bookmarkEnd w:id="233"/>
      <w:bookmarkEnd w:id="234"/>
      <w:bookmarkEnd w:id="235"/>
    </w:p>
    <w:p w14:paraId="20742BD0" w14:textId="5AB0FC97" w:rsidR="008D5BA5" w:rsidRPr="00EA444B" w:rsidRDefault="009063D8" w:rsidP="00A028D1">
      <w:pPr>
        <w:spacing w:line="240" w:lineRule="auto"/>
      </w:pPr>
      <w:r w:rsidRPr="00EA444B">
        <w:t>The GBT was designed to be able to take advantage of future improvements</w:t>
      </w:r>
      <w:r w:rsidR="00E4494A" w:rsidRPr="00EA444B">
        <w:t xml:space="preserve"> in</w:t>
      </w:r>
      <w:r w:rsidRPr="00EA444B">
        <w:t xml:space="preserve"> instrumentation beyond what was available at the time of construction.</w:t>
      </w:r>
      <w:r w:rsidR="00F65F7C" w:rsidRPr="00EA444B">
        <w:t xml:space="preserve"> </w:t>
      </w:r>
      <w:r w:rsidR="004241B4" w:rsidRPr="00EA444B">
        <w:t>The GBT’s 100</w:t>
      </w:r>
      <w:r w:rsidR="00EA09B2" w:rsidRPr="00EA444B">
        <w:t>-</w:t>
      </w:r>
      <w:r w:rsidR="004241B4" w:rsidRPr="00EA444B">
        <w:t>m</w:t>
      </w:r>
      <w:r w:rsidR="00EA09B2" w:rsidRPr="00EA444B">
        <w:t>eter</w:t>
      </w:r>
      <w:r w:rsidR="004241B4" w:rsidRPr="00EA444B">
        <w:t xml:space="preserve"> diameter collecting area, unblocked aperture, and excellent surface offer the scientific community unrivaled research capabilities at 0.</w:t>
      </w:r>
      <w:r w:rsidR="003A47B5" w:rsidRPr="00EA444B">
        <w:t>29</w:t>
      </w:r>
      <w:r w:rsidR="004241B4" w:rsidRPr="00EA444B">
        <w:t>–116 GHz (</w:t>
      </w:r>
      <w:r w:rsidR="003A47B5" w:rsidRPr="00EA444B">
        <w:t>1</w:t>
      </w:r>
      <w:r w:rsidR="004241B4" w:rsidRPr="00EA444B">
        <w:t xml:space="preserve">m–3.6mm wavelengths). </w:t>
      </w:r>
      <w:r w:rsidR="008C7DDE" w:rsidRPr="00EA444B">
        <w:t xml:space="preserve">After approximately a decade of surface accuracy </w:t>
      </w:r>
      <w:r w:rsidR="00964764" w:rsidRPr="00EA444B">
        <w:t xml:space="preserve">and telescope pointing </w:t>
      </w:r>
      <w:r w:rsidR="008C7DDE" w:rsidRPr="00EA444B">
        <w:t xml:space="preserve">refinements, </w:t>
      </w:r>
      <w:r w:rsidR="00A8499B">
        <w:t xml:space="preserve">in 2010 </w:t>
      </w:r>
      <w:r w:rsidR="00964764" w:rsidRPr="00EA444B">
        <w:t>the GBT active surface entered a new phase of unparalleled performance.</w:t>
      </w:r>
      <w:bookmarkEnd w:id="236"/>
      <w:bookmarkEnd w:id="237"/>
    </w:p>
    <w:p w14:paraId="6D846852" w14:textId="644E6BE2" w:rsidR="00277ACE" w:rsidRPr="00EA444B" w:rsidRDefault="00277ACE" w:rsidP="00A028D1">
      <w:pPr>
        <w:spacing w:line="240" w:lineRule="auto"/>
      </w:pPr>
      <w:r w:rsidRPr="00EA444B">
        <w:t>Since 2012, the GBT has begun significant operations in the 3mm band, opening up enhanced capabilities for spectroscopy and continuum studies over 67</w:t>
      </w:r>
      <w:r w:rsidR="002C4739" w:rsidRPr="00EA444B">
        <w:t>–</w:t>
      </w:r>
      <w:r w:rsidRPr="00EA444B">
        <w:t xml:space="preserve">116 GHz. The GBT is </w:t>
      </w:r>
      <w:r w:rsidR="00464C1A" w:rsidRPr="00EA444B">
        <w:t xml:space="preserve">becoming </w:t>
      </w:r>
      <w:r w:rsidRPr="00EA444B">
        <w:t xml:space="preserve">a pivotal complement to ALMA for the </w:t>
      </w:r>
      <w:r w:rsidR="002C4739" w:rsidRPr="00EA444B">
        <w:t xml:space="preserve">U.S. </w:t>
      </w:r>
      <w:r w:rsidRPr="00EA444B">
        <w:t xml:space="preserve">scientific community. </w:t>
      </w:r>
      <w:r w:rsidR="00F65F7C" w:rsidRPr="00EA444B">
        <w:t xml:space="preserve">Plans to </w:t>
      </w:r>
      <w:r w:rsidR="00367074" w:rsidRPr="00EA444B">
        <w:t xml:space="preserve">further enhance </w:t>
      </w:r>
      <w:r w:rsidR="00F65F7C" w:rsidRPr="00EA444B">
        <w:t>the surface control and accuracy will usher in a new area of cost-effective, world-class science.</w:t>
      </w:r>
    </w:p>
    <w:p w14:paraId="5907CB57" w14:textId="59D71A73" w:rsidR="00DC5E99" w:rsidRPr="00EA444B" w:rsidRDefault="00DC5E99" w:rsidP="00BE3952">
      <w:pPr>
        <w:pStyle w:val="Heading2"/>
      </w:pPr>
      <w:bookmarkStart w:id="238" w:name="_Toc535931424"/>
      <w:bookmarkStart w:id="239" w:name="_Toc535932350"/>
      <w:bookmarkStart w:id="240" w:name="_Toc535932645"/>
      <w:bookmarkStart w:id="241" w:name="_Toc535936081"/>
      <w:bookmarkStart w:id="242" w:name="_Toc535936247"/>
      <w:bookmarkStart w:id="243" w:name="_Toc535936165"/>
      <w:bookmarkStart w:id="244" w:name="_Toc535936510"/>
      <w:bookmarkStart w:id="245" w:name="_Toc536007071"/>
      <w:bookmarkStart w:id="246" w:name="_Toc536007461"/>
      <w:bookmarkStart w:id="247" w:name="_Toc536007851"/>
      <w:bookmarkStart w:id="248" w:name="_Toc535936166"/>
      <w:bookmarkStart w:id="249" w:name="_Toc337093"/>
      <w:bookmarkStart w:id="250" w:name="_Toc83886111"/>
      <w:bookmarkEnd w:id="238"/>
      <w:bookmarkEnd w:id="239"/>
      <w:bookmarkEnd w:id="240"/>
      <w:bookmarkEnd w:id="241"/>
      <w:bookmarkEnd w:id="242"/>
      <w:bookmarkEnd w:id="243"/>
      <w:bookmarkEnd w:id="244"/>
      <w:bookmarkEnd w:id="245"/>
      <w:bookmarkEnd w:id="246"/>
      <w:bookmarkEnd w:id="247"/>
      <w:r w:rsidRPr="00EA444B">
        <w:t>Current Status</w:t>
      </w:r>
      <w:bookmarkEnd w:id="248"/>
      <w:bookmarkEnd w:id="249"/>
      <w:bookmarkEnd w:id="250"/>
    </w:p>
    <w:p w14:paraId="61233318" w14:textId="7154EF2D" w:rsidR="00F13439" w:rsidRPr="00EA444B" w:rsidRDefault="00F13439" w:rsidP="00A028D1">
      <w:pPr>
        <w:pStyle w:val="NormalWeb"/>
        <w:spacing w:line="240" w:lineRule="auto"/>
      </w:pPr>
      <w:r w:rsidRPr="00EA444B">
        <w:t xml:space="preserve">The GBT operates 362 days annually. The GBT has achieved excellent 3mm capabilities, with 35% and 18% aperture efficiency at 90 and 115 GHz, respectively. The GBT </w:t>
      </w:r>
      <w:r w:rsidR="00F2573D" w:rsidRPr="00EA444B">
        <w:t xml:space="preserve">utilizes </w:t>
      </w:r>
      <w:r w:rsidRPr="00EA444B">
        <w:t>a dynamic scheduling system that optimizes each observing project’s scientific goals against the predicted weather conditions.</w:t>
      </w:r>
      <w:r w:rsidR="00764BA0">
        <w:t xml:space="preserve"> In FY20</w:t>
      </w:r>
      <w:r w:rsidR="00393CCC">
        <w:t>20</w:t>
      </w:r>
      <w:r w:rsidR="00E60F7D">
        <w:t>, the last full year of operation</w:t>
      </w:r>
      <w:r w:rsidR="00576C87" w:rsidRPr="00EA444B">
        <w:t xml:space="preserve">, the GBT offered </w:t>
      </w:r>
      <w:r w:rsidR="00172B8F">
        <w:t>7,172</w:t>
      </w:r>
      <w:r w:rsidR="00EC0170" w:rsidRPr="00EA444B">
        <w:t xml:space="preserve"> </w:t>
      </w:r>
      <w:r w:rsidR="00415847">
        <w:t>hours of observing and test time</w:t>
      </w:r>
      <w:r w:rsidR="00576C87" w:rsidRPr="00EA444B">
        <w:t xml:space="preserve">, </w:t>
      </w:r>
      <w:r w:rsidR="00B814B9" w:rsidRPr="00EA444B">
        <w:t xml:space="preserve">equivalent to an operational availability of </w:t>
      </w:r>
      <w:r w:rsidR="00EC0170">
        <w:t>8</w:t>
      </w:r>
      <w:r w:rsidR="00172B8F">
        <w:t>2</w:t>
      </w:r>
      <w:r w:rsidR="00576C87" w:rsidRPr="00EA444B">
        <w:t>%.</w:t>
      </w:r>
      <w:r w:rsidR="00E71634" w:rsidRPr="00EA444B">
        <w:t xml:space="preserve"> This availability should continue through FY</w:t>
      </w:r>
      <w:r w:rsidR="002C4739" w:rsidRPr="00EA444B">
        <w:t>20</w:t>
      </w:r>
      <w:r w:rsidR="00172B8F">
        <w:t>22</w:t>
      </w:r>
      <w:r w:rsidR="00E71634" w:rsidRPr="00EA444B">
        <w:t>.</w:t>
      </w:r>
    </w:p>
    <w:p w14:paraId="1D60FEA5" w14:textId="01EB93DE" w:rsidR="004572B6" w:rsidRDefault="00F13439" w:rsidP="00A028D1">
      <w:pPr>
        <w:spacing w:line="240" w:lineRule="auto"/>
      </w:pPr>
      <w:r w:rsidRPr="00EA444B">
        <w:t>The GBT</w:t>
      </w:r>
      <w:r w:rsidR="00F2573D" w:rsidRPr="00EA444B">
        <w:t xml:space="preserve"> co</w:t>
      </w:r>
      <w:r w:rsidR="00BE61D4" w:rsidRPr="00EA444B">
        <w:t>vers a</w:t>
      </w:r>
      <w:r w:rsidR="00F2573D" w:rsidRPr="00EA444B">
        <w:t xml:space="preserve"> frequency range of </w:t>
      </w:r>
      <w:r w:rsidR="00BE61D4" w:rsidRPr="00EA444B">
        <w:t>290 MHz to 116 GHz (non-contiguous), with an</w:t>
      </w:r>
      <w:r w:rsidRPr="00EA444B">
        <w:t xml:space="preserve"> instrument suite consist</w:t>
      </w:r>
      <w:r w:rsidR="00BE61D4" w:rsidRPr="00EA444B">
        <w:t>ing</w:t>
      </w:r>
      <w:r w:rsidRPr="00EA444B">
        <w:t xml:space="preserve"> of single/dual-pixel receivers from </w:t>
      </w:r>
      <w:r w:rsidR="00A218FA" w:rsidRPr="00EA444B">
        <w:t xml:space="preserve">290 </w:t>
      </w:r>
      <w:r w:rsidRPr="00EA444B">
        <w:t>MHz</w:t>
      </w:r>
      <w:r w:rsidR="00D12889" w:rsidRPr="00EA444B">
        <w:t xml:space="preserve"> to </w:t>
      </w:r>
      <w:r w:rsidRPr="00EA444B">
        <w:t>9</w:t>
      </w:r>
      <w:r w:rsidR="00916FF2" w:rsidRPr="00EA444B">
        <w:t>3</w:t>
      </w:r>
      <w:r w:rsidRPr="00EA444B">
        <w:t xml:space="preserve"> GHz</w:t>
      </w:r>
      <w:r w:rsidR="004572B6">
        <w:t>,</w:t>
      </w:r>
      <w:r w:rsidRPr="00EA444B">
        <w:t xml:space="preserve"> a seven-pixel heterodyne focal plane array at 18–26 GHz</w:t>
      </w:r>
      <w:r w:rsidR="004572B6">
        <w:t xml:space="preserve">, </w:t>
      </w:r>
      <w:r w:rsidR="004572B6" w:rsidRPr="00EA444B">
        <w:t>a 16-pixel single polarization array from 90–116 GHz and a 200+ pixel bolometer array at 81–100 GHz</w:t>
      </w:r>
      <w:r w:rsidRPr="00EA444B">
        <w:t>. The GBT features industry-leading signal processing systems with a high dynamic range,</w:t>
      </w:r>
      <w:r w:rsidR="00D969DA" w:rsidRPr="00EA444B">
        <w:t xml:space="preserve"> a</w:t>
      </w:r>
      <w:r w:rsidRPr="00EA444B">
        <w:t xml:space="preserve"> state-of-the-art system for high time and frequency resolution observations, and the capability for very wide bandwidth (≥10 GHz) observations for spectral line and pulsar detection experiments. </w:t>
      </w:r>
    </w:p>
    <w:p w14:paraId="329B9580" w14:textId="0B83D9AF" w:rsidR="00F13439" w:rsidRPr="00EA444B" w:rsidRDefault="00F13439" w:rsidP="00BE3952">
      <w:pPr>
        <w:pStyle w:val="Heading3"/>
      </w:pPr>
      <w:bookmarkStart w:id="251" w:name="_Toc535936167"/>
      <w:bookmarkStart w:id="252" w:name="_Toc337094"/>
      <w:r w:rsidRPr="00EA444B">
        <w:t>GBT Instruments - Receivers</w:t>
      </w:r>
      <w:bookmarkEnd w:id="251"/>
      <w:bookmarkEnd w:id="252"/>
    </w:p>
    <w:p w14:paraId="15C32333" w14:textId="31DECF46" w:rsidR="00F13439" w:rsidRPr="00EA444B" w:rsidRDefault="00F13439" w:rsidP="00A028D1">
      <w:pPr>
        <w:spacing w:line="240" w:lineRule="auto"/>
      </w:pPr>
      <w:r w:rsidRPr="00EA444B">
        <w:t xml:space="preserve">The GBT receivers and backends available for general use are described in the following paragraphs and in Table </w:t>
      </w:r>
      <w:r w:rsidR="000810EC" w:rsidRPr="00EA444B">
        <w:t>4</w:t>
      </w:r>
      <w:r w:rsidR="002C4739" w:rsidRPr="00EA444B">
        <w:t>.1.</w:t>
      </w:r>
      <w:r w:rsidR="001D2F3A" w:rsidRPr="00EA444B">
        <w:t>1</w:t>
      </w:r>
      <w:r w:rsidRPr="00EA444B">
        <w:t xml:space="preserve">. Several GBT instruments are semi-retired but can be used in exceptional circumstances </w:t>
      </w:r>
      <w:r w:rsidR="00A868AE" w:rsidRPr="00EA444B">
        <w:t xml:space="preserve">and </w:t>
      </w:r>
      <w:r w:rsidRPr="00EA444B">
        <w:t xml:space="preserve">are also described. </w:t>
      </w:r>
    </w:p>
    <w:p w14:paraId="39F05226" w14:textId="7EF934F5" w:rsidR="00F13439" w:rsidRPr="00EA444B" w:rsidRDefault="00F13439" w:rsidP="00A028D1">
      <w:pPr>
        <w:spacing w:line="240" w:lineRule="auto"/>
      </w:pPr>
      <w:r w:rsidRPr="00F47EF1">
        <w:rPr>
          <w:b/>
        </w:rPr>
        <w:t>Prime Focus Receiver</w:t>
      </w:r>
      <w:r w:rsidRPr="00EA444B">
        <w:t xml:space="preserve">: The GBT Prime Focus </w:t>
      </w:r>
      <w:r w:rsidR="00E71634" w:rsidRPr="00EA444B">
        <w:t xml:space="preserve">(PF) </w:t>
      </w:r>
      <w:r w:rsidRPr="00EA444B">
        <w:t>receivers</w:t>
      </w:r>
      <w:r w:rsidR="00E71634" w:rsidRPr="00EA444B">
        <w:t xml:space="preserve"> are</w:t>
      </w:r>
      <w:r w:rsidRPr="00EA444B">
        <w:t xml:space="preserve"> mounted in a focus rotation mount on a retractable boom. The boom is moved to the prime focus position</w:t>
      </w:r>
      <w:r w:rsidR="00BE61D4" w:rsidRPr="00EA444B">
        <w:t xml:space="preserve"> in front of the subreflector</w:t>
      </w:r>
      <w:r w:rsidRPr="00EA444B">
        <w:t xml:space="preserve"> when </w:t>
      </w:r>
      <w:r w:rsidR="00E71634" w:rsidRPr="00EA444B">
        <w:t xml:space="preserve">the </w:t>
      </w:r>
      <w:r w:rsidR="00BE61D4" w:rsidRPr="00EA444B">
        <w:t xml:space="preserve">PF </w:t>
      </w:r>
      <w:r w:rsidR="00E71634" w:rsidRPr="00EA444B">
        <w:t>receivers are</w:t>
      </w:r>
      <w:r w:rsidRPr="00EA444B">
        <w:t xml:space="preserve"> in use, and retracted when Gregorian receivers are required. The frequency ranges generally available are 290</w:t>
      </w:r>
      <w:r w:rsidR="002C4739" w:rsidRPr="00EA444B">
        <w:t>–</w:t>
      </w:r>
      <w:r w:rsidRPr="00EA444B">
        <w:t>395 MHz and 680</w:t>
      </w:r>
      <w:r w:rsidR="002C4739" w:rsidRPr="00EA444B">
        <w:t>–</w:t>
      </w:r>
      <w:r w:rsidRPr="00EA444B">
        <w:t>920 MHz</w:t>
      </w:r>
      <w:r w:rsidR="00BE61D4" w:rsidRPr="00EA444B">
        <w:t xml:space="preserve"> with the PF receivers divided into four frequency bands within the same receiver box.</w:t>
      </w:r>
      <w:r w:rsidRPr="00EA444B">
        <w:t xml:space="preserve"> The receivers use cooled High electron mobility Field Effect Transistor (HFET) amplifiers. The feeds for the first three bands are short-backfire dipoles. The feed for the fourth band is a corrugated feed horn with an Orthomode Transducer (OMT) polarization splitter. </w:t>
      </w:r>
    </w:p>
    <w:p w14:paraId="430C1A1C" w14:textId="2AF8B905" w:rsidR="00F13439" w:rsidRDefault="00F13439" w:rsidP="00A028D1">
      <w:pPr>
        <w:spacing w:line="240" w:lineRule="auto"/>
      </w:pPr>
      <w:r w:rsidRPr="00F47EF1">
        <w:rPr>
          <w:b/>
        </w:rPr>
        <w:t>Gregorian Receivers</w:t>
      </w:r>
      <w:r w:rsidRPr="00EA444B">
        <w:t>: The receiver room at the GBT Gregorian Focus contains a rotating turret in which the Gregorian receivers are mounted. There are eight receiver box portals in the turret</w:t>
      </w:r>
      <w:r w:rsidR="00C0647E" w:rsidRPr="00EA444B">
        <w:t>, a</w:t>
      </w:r>
      <w:r w:rsidRPr="00EA444B">
        <w:t xml:space="preserve">ll </w:t>
      </w:r>
      <w:r w:rsidR="00C0647E" w:rsidRPr="00EA444B">
        <w:t>of which</w:t>
      </w:r>
      <w:r w:rsidRPr="00EA444B">
        <w:t xml:space="preserve"> are kept cold and active. The Gregorian subreflector can be used for slow chopping. All Gregorian receiver calibration is done via signal injection from a noise diode, except for the W-band receiver, which employs an external calibration wheel with warm and cold loads, and the Argus array</w:t>
      </w:r>
      <w:r w:rsidR="006968E5" w:rsidRPr="00EA444B">
        <w:t>,</w:t>
      </w:r>
      <w:r w:rsidRPr="00EA444B">
        <w:t xml:space="preserve"> which has an extendable hot load for calibration.</w:t>
      </w:r>
    </w:p>
    <w:p w14:paraId="22DEAD04" w14:textId="77777777" w:rsidR="00A028D1" w:rsidRPr="00EA444B" w:rsidRDefault="00A028D1" w:rsidP="00A028D1">
      <w:pPr>
        <w:spacing w:line="240" w:lineRule="auto"/>
      </w:pPr>
    </w:p>
    <w:p w14:paraId="1A7F1AD4" w14:textId="214783E8" w:rsidR="000F5C43" w:rsidRPr="00A028D1" w:rsidRDefault="000F5C43" w:rsidP="00A028D1">
      <w:pPr>
        <w:pStyle w:val="TableCaption"/>
        <w:jc w:val="center"/>
        <w:rPr>
          <w:b/>
        </w:rPr>
      </w:pPr>
      <w:r w:rsidRPr="00A028D1">
        <w:rPr>
          <w:b/>
        </w:rPr>
        <w:lastRenderedPageBreak/>
        <w:t xml:space="preserve">Table </w:t>
      </w:r>
      <w:r w:rsidR="000810EC" w:rsidRPr="00A028D1">
        <w:rPr>
          <w:b/>
        </w:rPr>
        <w:t>4</w:t>
      </w:r>
      <w:r w:rsidRPr="00A028D1">
        <w:rPr>
          <w:b/>
        </w:rPr>
        <w:t>.1.1. GBT receivers</w:t>
      </w:r>
      <w:r w:rsidR="00541206" w:rsidRPr="00A028D1">
        <w:rPr>
          <w:b/>
        </w:rPr>
        <w:t xml:space="preserve"> as of September </w:t>
      </w:r>
      <w:r w:rsidR="00532ED6" w:rsidRPr="00A028D1">
        <w:rPr>
          <w:b/>
        </w:rPr>
        <w:t>2021</w:t>
      </w:r>
    </w:p>
    <w:tbl>
      <w:tblPr>
        <w:tblStyle w:val="TableGrid"/>
        <w:tblW w:w="9535" w:type="dxa"/>
        <w:tblLook w:val="04A0" w:firstRow="1" w:lastRow="0" w:firstColumn="1" w:lastColumn="0" w:noHBand="0" w:noVBand="1"/>
      </w:tblPr>
      <w:tblGrid>
        <w:gridCol w:w="1885"/>
        <w:gridCol w:w="3510"/>
        <w:gridCol w:w="2520"/>
        <w:gridCol w:w="1620"/>
      </w:tblGrid>
      <w:tr w:rsidR="0097372A" w:rsidRPr="00EA444B" w14:paraId="6464571C" w14:textId="62F21E1E" w:rsidTr="00A028D1">
        <w:tc>
          <w:tcPr>
            <w:tcW w:w="1885" w:type="dxa"/>
          </w:tcPr>
          <w:p w14:paraId="3B5C70E8" w14:textId="02EB3F1C" w:rsidR="0097372A" w:rsidRPr="00A028D1" w:rsidRDefault="0097372A" w:rsidP="001812E3">
            <w:pPr>
              <w:rPr>
                <w:b/>
              </w:rPr>
            </w:pPr>
            <w:r w:rsidRPr="00A028D1">
              <w:rPr>
                <w:b/>
              </w:rPr>
              <w:t>Receiver</w:t>
            </w:r>
            <w:r w:rsidRPr="00A028D1">
              <w:rPr>
                <w:b/>
              </w:rPr>
              <w:tab/>
            </w:r>
            <w:r w:rsidRPr="00A028D1">
              <w:rPr>
                <w:b/>
              </w:rPr>
              <w:tab/>
            </w:r>
            <w:r w:rsidRPr="00A028D1">
              <w:rPr>
                <w:b/>
              </w:rPr>
              <w:tab/>
            </w:r>
          </w:p>
        </w:tc>
        <w:tc>
          <w:tcPr>
            <w:tcW w:w="3510" w:type="dxa"/>
          </w:tcPr>
          <w:p w14:paraId="2780711C" w14:textId="24AB836D" w:rsidR="0097372A" w:rsidRPr="00A028D1" w:rsidRDefault="0097372A">
            <w:pPr>
              <w:rPr>
                <w:b/>
              </w:rPr>
            </w:pPr>
            <w:r w:rsidRPr="00A028D1">
              <w:rPr>
                <w:b/>
              </w:rPr>
              <w:t>Frequency</w:t>
            </w:r>
          </w:p>
        </w:tc>
        <w:tc>
          <w:tcPr>
            <w:tcW w:w="2520" w:type="dxa"/>
          </w:tcPr>
          <w:p w14:paraId="7D7A56F0" w14:textId="28B300A2" w:rsidR="0097372A" w:rsidRPr="00A028D1" w:rsidRDefault="0097372A">
            <w:pPr>
              <w:rPr>
                <w:b/>
              </w:rPr>
            </w:pPr>
            <w:r w:rsidRPr="00A028D1">
              <w:rPr>
                <w:b/>
              </w:rPr>
              <w:t>Status</w:t>
            </w:r>
          </w:p>
        </w:tc>
        <w:tc>
          <w:tcPr>
            <w:tcW w:w="1620" w:type="dxa"/>
          </w:tcPr>
          <w:p w14:paraId="5966208F" w14:textId="53D8A471" w:rsidR="0097372A" w:rsidRPr="00A028D1" w:rsidRDefault="0097372A" w:rsidP="003724C5">
            <w:pPr>
              <w:spacing w:line="240" w:lineRule="auto"/>
              <w:rPr>
                <w:b/>
              </w:rPr>
            </w:pPr>
            <w:r w:rsidRPr="00A028D1">
              <w:rPr>
                <w:b/>
              </w:rPr>
              <w:t>Gregorian/</w:t>
            </w:r>
            <w:r w:rsidR="002C4739" w:rsidRPr="00A028D1">
              <w:rPr>
                <w:b/>
              </w:rPr>
              <w:t xml:space="preserve"> </w:t>
            </w:r>
            <w:r w:rsidRPr="00A028D1">
              <w:rPr>
                <w:b/>
              </w:rPr>
              <w:t>Prime Focus</w:t>
            </w:r>
          </w:p>
        </w:tc>
      </w:tr>
      <w:tr w:rsidR="0097372A" w:rsidRPr="00EA444B" w14:paraId="4B656918" w14:textId="79B5B812" w:rsidTr="00A028D1">
        <w:tc>
          <w:tcPr>
            <w:tcW w:w="1885" w:type="dxa"/>
          </w:tcPr>
          <w:p w14:paraId="786EBD69" w14:textId="6CB7ABE1" w:rsidR="0097372A" w:rsidRPr="00EA444B" w:rsidRDefault="0097372A" w:rsidP="001812E3">
            <w:r w:rsidRPr="00EA444B">
              <w:t>Prime Focus 1</w:t>
            </w:r>
            <w:r w:rsidRPr="00EA444B">
              <w:tab/>
            </w:r>
          </w:p>
        </w:tc>
        <w:tc>
          <w:tcPr>
            <w:tcW w:w="3510" w:type="dxa"/>
          </w:tcPr>
          <w:p w14:paraId="365EB84F" w14:textId="219B0796" w:rsidR="0097372A" w:rsidRPr="00EA444B" w:rsidRDefault="0097372A">
            <w:r w:rsidRPr="00EA444B">
              <w:t>290</w:t>
            </w:r>
            <w:r w:rsidR="002C4739" w:rsidRPr="00EA444B">
              <w:t>–</w:t>
            </w:r>
            <w:r w:rsidRPr="00EA444B">
              <w:t>395 MHz, 680</w:t>
            </w:r>
            <w:r w:rsidR="002C4739" w:rsidRPr="00EA444B">
              <w:t>–</w:t>
            </w:r>
            <w:r w:rsidRPr="00EA444B">
              <w:t>920 MHz</w:t>
            </w:r>
            <w:r w:rsidRPr="00EA444B">
              <w:tab/>
            </w:r>
          </w:p>
        </w:tc>
        <w:tc>
          <w:tcPr>
            <w:tcW w:w="2520" w:type="dxa"/>
          </w:tcPr>
          <w:p w14:paraId="4B6390F6" w14:textId="14E9C362" w:rsidR="0097372A" w:rsidRPr="00EA444B" w:rsidRDefault="0097372A">
            <w:r w:rsidRPr="00EA444B">
              <w:t>Available</w:t>
            </w:r>
          </w:p>
        </w:tc>
        <w:tc>
          <w:tcPr>
            <w:tcW w:w="1620" w:type="dxa"/>
          </w:tcPr>
          <w:p w14:paraId="45BD021C" w14:textId="16449FCC" w:rsidR="0097372A" w:rsidRPr="00EA444B" w:rsidRDefault="0097372A">
            <w:r w:rsidRPr="00EA444B">
              <w:t>Prime Focus</w:t>
            </w:r>
          </w:p>
        </w:tc>
      </w:tr>
      <w:tr w:rsidR="0097372A" w:rsidRPr="00EA444B" w14:paraId="486E6328" w14:textId="6CE979EB" w:rsidTr="00A028D1">
        <w:tc>
          <w:tcPr>
            <w:tcW w:w="1885" w:type="dxa"/>
          </w:tcPr>
          <w:p w14:paraId="0C7D929E" w14:textId="5D49D24B" w:rsidR="0097372A" w:rsidRPr="00EA444B" w:rsidRDefault="0097372A" w:rsidP="001812E3">
            <w:r w:rsidRPr="00EA444B">
              <w:t>Prime Focus 1</w:t>
            </w:r>
            <w:r w:rsidRPr="00EA444B">
              <w:tab/>
            </w:r>
          </w:p>
        </w:tc>
        <w:tc>
          <w:tcPr>
            <w:tcW w:w="3510" w:type="dxa"/>
          </w:tcPr>
          <w:p w14:paraId="787D9BD3" w14:textId="3FDB5025" w:rsidR="0097372A" w:rsidRPr="00EA444B" w:rsidRDefault="0097372A">
            <w:r w:rsidRPr="00EA444B">
              <w:t>385</w:t>
            </w:r>
            <w:r w:rsidR="002C4739" w:rsidRPr="00EA444B">
              <w:t>–</w:t>
            </w:r>
            <w:r w:rsidRPr="00EA444B">
              <w:t>520 MHz, 510</w:t>
            </w:r>
            <w:r w:rsidR="002C4739" w:rsidRPr="00EA444B">
              <w:t>–</w:t>
            </w:r>
            <w:r w:rsidRPr="00EA444B">
              <w:t>690 MHz</w:t>
            </w:r>
            <w:r w:rsidRPr="00EA444B">
              <w:tab/>
            </w:r>
          </w:p>
        </w:tc>
        <w:tc>
          <w:tcPr>
            <w:tcW w:w="2520" w:type="dxa"/>
          </w:tcPr>
          <w:p w14:paraId="53F72EBF" w14:textId="7A50B880" w:rsidR="0097372A" w:rsidRPr="00EA444B" w:rsidRDefault="0097372A">
            <w:r w:rsidRPr="00EA444B">
              <w:t>Retired</w:t>
            </w:r>
            <w:r w:rsidRPr="00EA444B">
              <w:tab/>
            </w:r>
          </w:p>
        </w:tc>
        <w:tc>
          <w:tcPr>
            <w:tcW w:w="1620" w:type="dxa"/>
          </w:tcPr>
          <w:p w14:paraId="4CC93153" w14:textId="7D3E917E" w:rsidR="0097372A" w:rsidRPr="00EA444B" w:rsidRDefault="0097372A">
            <w:r w:rsidRPr="00EA444B">
              <w:t>Prime Focus</w:t>
            </w:r>
          </w:p>
        </w:tc>
      </w:tr>
      <w:tr w:rsidR="0097372A" w:rsidRPr="00EA444B" w14:paraId="78393C02" w14:textId="04273D6A" w:rsidTr="003724C5">
        <w:trPr>
          <w:trHeight w:val="440"/>
        </w:trPr>
        <w:tc>
          <w:tcPr>
            <w:tcW w:w="1885" w:type="dxa"/>
          </w:tcPr>
          <w:p w14:paraId="4DDED25E" w14:textId="6B3FDC62" w:rsidR="0097372A" w:rsidRPr="00EA444B" w:rsidRDefault="0097372A" w:rsidP="001812E3">
            <w:r w:rsidRPr="00EA444B">
              <w:t>Prime Focus 2</w:t>
            </w:r>
            <w:r w:rsidRPr="00EA444B">
              <w:tab/>
            </w:r>
          </w:p>
        </w:tc>
        <w:tc>
          <w:tcPr>
            <w:tcW w:w="3510" w:type="dxa"/>
          </w:tcPr>
          <w:p w14:paraId="5FA0AEE5" w14:textId="5B9E7488" w:rsidR="0097372A" w:rsidRPr="00EA444B" w:rsidRDefault="0097372A">
            <w:r w:rsidRPr="00EA444B">
              <w:t>0.910</w:t>
            </w:r>
            <w:r w:rsidR="002C4739" w:rsidRPr="00EA444B">
              <w:t>–</w:t>
            </w:r>
            <w:r w:rsidRPr="00EA444B">
              <w:t>1.23 GHz</w:t>
            </w:r>
          </w:p>
        </w:tc>
        <w:tc>
          <w:tcPr>
            <w:tcW w:w="2520" w:type="dxa"/>
          </w:tcPr>
          <w:p w14:paraId="706BC161" w14:textId="63C851AE" w:rsidR="0097372A" w:rsidRPr="00EA444B" w:rsidRDefault="0097372A">
            <w:r w:rsidRPr="00EA444B">
              <w:t>Retired</w:t>
            </w:r>
          </w:p>
        </w:tc>
        <w:tc>
          <w:tcPr>
            <w:tcW w:w="1620" w:type="dxa"/>
          </w:tcPr>
          <w:p w14:paraId="70E69714" w14:textId="0C2CD9F2" w:rsidR="0097372A" w:rsidRPr="00EA444B" w:rsidRDefault="0097372A">
            <w:r w:rsidRPr="00EA444B">
              <w:t>Prime Focus</w:t>
            </w:r>
          </w:p>
        </w:tc>
      </w:tr>
      <w:tr w:rsidR="0097372A" w:rsidRPr="00EA444B" w14:paraId="50C308A4" w14:textId="704D3DE4" w:rsidTr="00A028D1">
        <w:tc>
          <w:tcPr>
            <w:tcW w:w="1885" w:type="dxa"/>
          </w:tcPr>
          <w:p w14:paraId="46C00D17" w14:textId="3B3E713C" w:rsidR="0097372A" w:rsidRPr="00EA444B" w:rsidRDefault="0097372A" w:rsidP="001812E3">
            <w:r w:rsidRPr="00EA444B">
              <w:t xml:space="preserve">L-band </w:t>
            </w:r>
            <w:r w:rsidRPr="00EA444B">
              <w:tab/>
            </w:r>
          </w:p>
        </w:tc>
        <w:tc>
          <w:tcPr>
            <w:tcW w:w="3510" w:type="dxa"/>
          </w:tcPr>
          <w:p w14:paraId="41462344" w14:textId="5BCCA77F" w:rsidR="0097372A" w:rsidRPr="00EA444B" w:rsidRDefault="0097372A">
            <w:r w:rsidRPr="00EA444B">
              <w:t>1.15</w:t>
            </w:r>
            <w:r w:rsidR="002C4739" w:rsidRPr="00EA444B">
              <w:t>–</w:t>
            </w:r>
            <w:r w:rsidRPr="00EA444B">
              <w:t>1.73 GHz</w:t>
            </w:r>
            <w:r w:rsidRPr="00EA444B">
              <w:tab/>
            </w:r>
          </w:p>
        </w:tc>
        <w:tc>
          <w:tcPr>
            <w:tcW w:w="2520" w:type="dxa"/>
          </w:tcPr>
          <w:p w14:paraId="5E4C3B9A" w14:textId="1712CA5D" w:rsidR="0097372A" w:rsidRPr="00EA444B" w:rsidRDefault="0097372A">
            <w:r w:rsidRPr="00EA444B">
              <w:t>Available</w:t>
            </w:r>
          </w:p>
        </w:tc>
        <w:tc>
          <w:tcPr>
            <w:tcW w:w="1620" w:type="dxa"/>
          </w:tcPr>
          <w:p w14:paraId="2D9772D1" w14:textId="2548924E" w:rsidR="0097372A" w:rsidRPr="00EA444B" w:rsidRDefault="0097372A">
            <w:r w:rsidRPr="00EA444B">
              <w:t>Gregorian</w:t>
            </w:r>
          </w:p>
        </w:tc>
      </w:tr>
      <w:tr w:rsidR="0097372A" w:rsidRPr="00EA444B" w14:paraId="64BE921A" w14:textId="29EE2F24" w:rsidTr="00A028D1">
        <w:tc>
          <w:tcPr>
            <w:tcW w:w="1885" w:type="dxa"/>
          </w:tcPr>
          <w:p w14:paraId="652F5AE3" w14:textId="658AD8DF" w:rsidR="0097372A" w:rsidRPr="00EA444B" w:rsidRDefault="0097372A" w:rsidP="001812E3">
            <w:r w:rsidRPr="00EA444B">
              <w:t xml:space="preserve">S-band </w:t>
            </w:r>
            <w:r w:rsidRPr="00EA444B">
              <w:tab/>
            </w:r>
          </w:p>
        </w:tc>
        <w:tc>
          <w:tcPr>
            <w:tcW w:w="3510" w:type="dxa"/>
          </w:tcPr>
          <w:p w14:paraId="500929D7" w14:textId="5542A3FA" w:rsidR="0097372A" w:rsidRPr="00EA444B" w:rsidRDefault="0097372A">
            <w:r w:rsidRPr="00EA444B">
              <w:t>1.73</w:t>
            </w:r>
            <w:r w:rsidR="002C4739" w:rsidRPr="00EA444B">
              <w:t>–</w:t>
            </w:r>
            <w:r w:rsidRPr="00EA444B">
              <w:t>2.60 GHz</w:t>
            </w:r>
            <w:r w:rsidRPr="00EA444B">
              <w:tab/>
            </w:r>
          </w:p>
        </w:tc>
        <w:tc>
          <w:tcPr>
            <w:tcW w:w="2520" w:type="dxa"/>
          </w:tcPr>
          <w:p w14:paraId="31934448" w14:textId="4018FF8F" w:rsidR="0097372A" w:rsidRPr="00EA444B" w:rsidRDefault="0097372A">
            <w:r w:rsidRPr="00EA444B">
              <w:t>Available</w:t>
            </w:r>
          </w:p>
        </w:tc>
        <w:tc>
          <w:tcPr>
            <w:tcW w:w="1620" w:type="dxa"/>
          </w:tcPr>
          <w:p w14:paraId="79AF4D94" w14:textId="11DD0028" w:rsidR="0097372A" w:rsidRPr="00EA444B" w:rsidRDefault="0097372A">
            <w:r w:rsidRPr="00EA444B">
              <w:t>Gregorian</w:t>
            </w:r>
          </w:p>
        </w:tc>
      </w:tr>
      <w:tr w:rsidR="0097372A" w:rsidRPr="00EA444B" w14:paraId="26C95D7E" w14:textId="64197F44" w:rsidTr="00A028D1">
        <w:tc>
          <w:tcPr>
            <w:tcW w:w="1885" w:type="dxa"/>
          </w:tcPr>
          <w:p w14:paraId="7DF7CEE7" w14:textId="650EDAF3" w:rsidR="0097372A" w:rsidRPr="00EA444B" w:rsidRDefault="0097372A" w:rsidP="001812E3">
            <w:r w:rsidRPr="00EA444B">
              <w:t>C-band</w:t>
            </w:r>
            <w:r w:rsidRPr="00EA444B">
              <w:tab/>
            </w:r>
            <w:r w:rsidRPr="00EA444B">
              <w:tab/>
            </w:r>
          </w:p>
        </w:tc>
        <w:tc>
          <w:tcPr>
            <w:tcW w:w="3510" w:type="dxa"/>
          </w:tcPr>
          <w:p w14:paraId="534F5A55" w14:textId="78999CC9" w:rsidR="0097372A" w:rsidRPr="00EA444B" w:rsidRDefault="0097372A">
            <w:r w:rsidRPr="00EA444B">
              <w:t>3.8</w:t>
            </w:r>
            <w:r w:rsidR="002C4739" w:rsidRPr="00EA444B">
              <w:t>–</w:t>
            </w:r>
            <w:r w:rsidRPr="00EA444B">
              <w:t>8.0 GHz</w:t>
            </w:r>
          </w:p>
        </w:tc>
        <w:tc>
          <w:tcPr>
            <w:tcW w:w="2520" w:type="dxa"/>
          </w:tcPr>
          <w:p w14:paraId="4134387B" w14:textId="35E912C4" w:rsidR="0097372A" w:rsidRPr="00EA444B" w:rsidRDefault="0097372A" w:rsidP="007F3EE7">
            <w:pPr>
              <w:jc w:val="left"/>
            </w:pPr>
            <w:r w:rsidRPr="00EA444B">
              <w:t>Available for Linear Polarization only</w:t>
            </w:r>
            <w:r w:rsidRPr="00EA444B">
              <w:tab/>
            </w:r>
          </w:p>
        </w:tc>
        <w:tc>
          <w:tcPr>
            <w:tcW w:w="1620" w:type="dxa"/>
          </w:tcPr>
          <w:p w14:paraId="0B67AC4A" w14:textId="0E893BB3" w:rsidR="0097372A" w:rsidRPr="00EA444B" w:rsidRDefault="0097372A">
            <w:r w:rsidRPr="00EA444B">
              <w:t>Gregorian</w:t>
            </w:r>
          </w:p>
        </w:tc>
      </w:tr>
      <w:tr w:rsidR="0097372A" w:rsidRPr="00EA444B" w14:paraId="2BCE911B" w14:textId="20DB3E0E" w:rsidTr="00A028D1">
        <w:tc>
          <w:tcPr>
            <w:tcW w:w="1885" w:type="dxa"/>
          </w:tcPr>
          <w:p w14:paraId="16148211" w14:textId="41EC4B99" w:rsidR="0097372A" w:rsidRPr="00EA444B" w:rsidRDefault="0097372A" w:rsidP="001812E3">
            <w:r w:rsidRPr="00EA444B">
              <w:t>X-band</w:t>
            </w:r>
            <w:r w:rsidRPr="00EA444B">
              <w:tab/>
            </w:r>
          </w:p>
        </w:tc>
        <w:tc>
          <w:tcPr>
            <w:tcW w:w="3510" w:type="dxa"/>
          </w:tcPr>
          <w:p w14:paraId="04D7702D" w14:textId="3820CB99" w:rsidR="0097372A" w:rsidRPr="00EA444B" w:rsidRDefault="0097372A">
            <w:r w:rsidRPr="00EA444B">
              <w:t>8.0</w:t>
            </w:r>
            <w:r w:rsidR="002C4739" w:rsidRPr="00EA444B">
              <w:t>–</w:t>
            </w:r>
            <w:r w:rsidRPr="00EA444B">
              <w:t>11.6 GHz</w:t>
            </w:r>
          </w:p>
        </w:tc>
        <w:tc>
          <w:tcPr>
            <w:tcW w:w="2520" w:type="dxa"/>
          </w:tcPr>
          <w:p w14:paraId="15E85B08" w14:textId="0973DEDA" w:rsidR="0097372A" w:rsidRPr="00EA444B" w:rsidRDefault="0097372A">
            <w:r w:rsidRPr="00EA444B">
              <w:t>Available</w:t>
            </w:r>
          </w:p>
        </w:tc>
        <w:tc>
          <w:tcPr>
            <w:tcW w:w="1620" w:type="dxa"/>
          </w:tcPr>
          <w:p w14:paraId="0DF90160" w14:textId="42B6B33E" w:rsidR="0097372A" w:rsidRPr="00EA444B" w:rsidRDefault="0097372A">
            <w:r w:rsidRPr="00EA444B">
              <w:t>Gregorian</w:t>
            </w:r>
          </w:p>
        </w:tc>
      </w:tr>
      <w:tr w:rsidR="0097372A" w:rsidRPr="00EA444B" w14:paraId="0572D3C7" w14:textId="0336B6F6" w:rsidTr="00A028D1">
        <w:tc>
          <w:tcPr>
            <w:tcW w:w="1885" w:type="dxa"/>
          </w:tcPr>
          <w:p w14:paraId="2EA184DD" w14:textId="211CF3EA" w:rsidR="0097372A" w:rsidRPr="00EA444B" w:rsidRDefault="0097372A" w:rsidP="001812E3">
            <w:r w:rsidRPr="00EA444B">
              <w:t xml:space="preserve">Ku-band </w:t>
            </w:r>
            <w:r w:rsidRPr="00EA444B">
              <w:tab/>
            </w:r>
          </w:p>
        </w:tc>
        <w:tc>
          <w:tcPr>
            <w:tcW w:w="3510" w:type="dxa"/>
          </w:tcPr>
          <w:p w14:paraId="5398BBE4" w14:textId="5D2F7ABB" w:rsidR="0097372A" w:rsidRPr="00EA444B" w:rsidRDefault="0097372A">
            <w:r w:rsidRPr="00EA444B">
              <w:t>12.0</w:t>
            </w:r>
            <w:r w:rsidR="002C4739" w:rsidRPr="00EA444B">
              <w:t>–</w:t>
            </w:r>
            <w:r w:rsidRPr="00EA444B">
              <w:t>15.4 GHz</w:t>
            </w:r>
          </w:p>
        </w:tc>
        <w:tc>
          <w:tcPr>
            <w:tcW w:w="2520" w:type="dxa"/>
          </w:tcPr>
          <w:p w14:paraId="6515ACBE" w14:textId="4E4EDF50" w:rsidR="0097372A" w:rsidRPr="00EA444B" w:rsidRDefault="0097372A">
            <w:r w:rsidRPr="00EA444B">
              <w:t>Available</w:t>
            </w:r>
          </w:p>
        </w:tc>
        <w:tc>
          <w:tcPr>
            <w:tcW w:w="1620" w:type="dxa"/>
          </w:tcPr>
          <w:p w14:paraId="0B90E9C5" w14:textId="417B68AF" w:rsidR="0097372A" w:rsidRPr="00EA444B" w:rsidRDefault="0097372A">
            <w:r w:rsidRPr="00EA444B">
              <w:t>Gregorian</w:t>
            </w:r>
          </w:p>
        </w:tc>
      </w:tr>
      <w:tr w:rsidR="0097372A" w:rsidRPr="00EA444B" w14:paraId="41DF2389" w14:textId="6C3A6324" w:rsidTr="00A028D1">
        <w:tc>
          <w:tcPr>
            <w:tcW w:w="1885" w:type="dxa"/>
          </w:tcPr>
          <w:p w14:paraId="21332354" w14:textId="6EC62ED9" w:rsidR="0097372A" w:rsidRPr="00EA444B" w:rsidRDefault="0097372A" w:rsidP="001812E3">
            <w:r w:rsidRPr="00EA444B">
              <w:t>Ku-Wide</w:t>
            </w:r>
          </w:p>
        </w:tc>
        <w:tc>
          <w:tcPr>
            <w:tcW w:w="3510" w:type="dxa"/>
          </w:tcPr>
          <w:p w14:paraId="365D504D" w14:textId="01844316" w:rsidR="0097372A" w:rsidRPr="00EA444B" w:rsidRDefault="0097372A">
            <w:r w:rsidRPr="00EA444B">
              <w:t>13</w:t>
            </w:r>
            <w:r w:rsidR="002C4739" w:rsidRPr="00EA444B">
              <w:t>–</w:t>
            </w:r>
            <w:r w:rsidRPr="00EA444B">
              <w:t>19 GHz</w:t>
            </w:r>
          </w:p>
        </w:tc>
        <w:tc>
          <w:tcPr>
            <w:tcW w:w="2520" w:type="dxa"/>
          </w:tcPr>
          <w:p w14:paraId="16FA4FD8" w14:textId="440028AD" w:rsidR="0097372A" w:rsidRPr="00EA444B" w:rsidRDefault="0097372A">
            <w:r w:rsidRPr="00EA444B">
              <w:t>Retired</w:t>
            </w:r>
          </w:p>
        </w:tc>
        <w:tc>
          <w:tcPr>
            <w:tcW w:w="1620" w:type="dxa"/>
          </w:tcPr>
          <w:p w14:paraId="1BD5DD60" w14:textId="2ED47BFC" w:rsidR="0097372A" w:rsidRPr="00EA444B" w:rsidRDefault="0097372A">
            <w:r w:rsidRPr="00EA444B">
              <w:t>Gregorian</w:t>
            </w:r>
          </w:p>
        </w:tc>
      </w:tr>
      <w:tr w:rsidR="0097372A" w:rsidRPr="00EA444B" w14:paraId="79F689E5" w14:textId="41DB4681" w:rsidTr="00A028D1">
        <w:tc>
          <w:tcPr>
            <w:tcW w:w="1885" w:type="dxa"/>
          </w:tcPr>
          <w:p w14:paraId="28630654" w14:textId="14F1F479" w:rsidR="0097372A" w:rsidRPr="00EA444B" w:rsidRDefault="0097372A" w:rsidP="001812E3">
            <w:r w:rsidRPr="00EA444B">
              <w:t>K-band FPA</w:t>
            </w:r>
            <w:r w:rsidRPr="00EA444B">
              <w:tab/>
            </w:r>
          </w:p>
        </w:tc>
        <w:tc>
          <w:tcPr>
            <w:tcW w:w="3510" w:type="dxa"/>
          </w:tcPr>
          <w:p w14:paraId="6187BF6F" w14:textId="4A0E4CBA" w:rsidR="0097372A" w:rsidRPr="00EA444B" w:rsidRDefault="0097372A">
            <w:r w:rsidRPr="00EA444B">
              <w:t>18.0</w:t>
            </w:r>
            <w:r w:rsidR="002C4739" w:rsidRPr="00EA444B">
              <w:t>–</w:t>
            </w:r>
            <w:r w:rsidRPr="00EA444B">
              <w:t>26.5 GHz</w:t>
            </w:r>
            <w:r w:rsidR="00100E8F" w:rsidRPr="00EA444B">
              <w:t>,</w:t>
            </w:r>
            <w:r w:rsidRPr="00EA444B">
              <w:tab/>
              <w:t>7-pixels</w:t>
            </w:r>
            <w:r w:rsidRPr="00EA444B">
              <w:tab/>
            </w:r>
          </w:p>
        </w:tc>
        <w:tc>
          <w:tcPr>
            <w:tcW w:w="2520" w:type="dxa"/>
          </w:tcPr>
          <w:p w14:paraId="142C986F" w14:textId="3DCB703E" w:rsidR="0097372A" w:rsidRPr="00EA444B" w:rsidRDefault="0097372A">
            <w:r w:rsidRPr="00EA444B">
              <w:t>Available</w:t>
            </w:r>
          </w:p>
        </w:tc>
        <w:tc>
          <w:tcPr>
            <w:tcW w:w="1620" w:type="dxa"/>
          </w:tcPr>
          <w:p w14:paraId="0DE09E70" w14:textId="4B73C1D7" w:rsidR="0097372A" w:rsidRPr="00EA444B" w:rsidRDefault="0097372A">
            <w:r w:rsidRPr="00EA444B">
              <w:t>Gregorian</w:t>
            </w:r>
          </w:p>
        </w:tc>
      </w:tr>
      <w:tr w:rsidR="0097372A" w:rsidRPr="00EA444B" w14:paraId="7F2E253E" w14:textId="627CB5B1" w:rsidTr="00A028D1">
        <w:tc>
          <w:tcPr>
            <w:tcW w:w="1885" w:type="dxa"/>
          </w:tcPr>
          <w:p w14:paraId="02151E0A" w14:textId="213C7CE2" w:rsidR="0097372A" w:rsidRPr="00EA444B" w:rsidRDefault="0097372A" w:rsidP="001812E3">
            <w:r w:rsidRPr="00EA444B">
              <w:t xml:space="preserve">Ka-band </w:t>
            </w:r>
            <w:r w:rsidRPr="00EA444B">
              <w:tab/>
            </w:r>
          </w:p>
        </w:tc>
        <w:tc>
          <w:tcPr>
            <w:tcW w:w="3510" w:type="dxa"/>
          </w:tcPr>
          <w:p w14:paraId="667ED74F" w14:textId="21A25C15" w:rsidR="0097372A" w:rsidRPr="00EA444B" w:rsidRDefault="0097372A">
            <w:r w:rsidRPr="00EA444B">
              <w:t>26.0</w:t>
            </w:r>
            <w:r w:rsidR="002C4739" w:rsidRPr="00EA444B">
              <w:t>–</w:t>
            </w:r>
            <w:r w:rsidRPr="00EA444B">
              <w:t>39.5 GHz</w:t>
            </w:r>
          </w:p>
        </w:tc>
        <w:tc>
          <w:tcPr>
            <w:tcW w:w="2520" w:type="dxa"/>
          </w:tcPr>
          <w:p w14:paraId="655331EC" w14:textId="5D723453" w:rsidR="0097372A" w:rsidRPr="00EA444B" w:rsidRDefault="0097372A">
            <w:r w:rsidRPr="00EA444B">
              <w:t>Available</w:t>
            </w:r>
          </w:p>
        </w:tc>
        <w:tc>
          <w:tcPr>
            <w:tcW w:w="1620" w:type="dxa"/>
          </w:tcPr>
          <w:p w14:paraId="43AF16C8" w14:textId="3E1BFB68" w:rsidR="0097372A" w:rsidRPr="00EA444B" w:rsidRDefault="0097372A">
            <w:r w:rsidRPr="00EA444B">
              <w:t>Gregorian</w:t>
            </w:r>
          </w:p>
        </w:tc>
      </w:tr>
      <w:tr w:rsidR="0097372A" w:rsidRPr="00EA444B" w14:paraId="4A030939" w14:textId="2EC44BBF" w:rsidTr="00A028D1">
        <w:tc>
          <w:tcPr>
            <w:tcW w:w="1885" w:type="dxa"/>
          </w:tcPr>
          <w:p w14:paraId="2857C3E6" w14:textId="288FA30C" w:rsidR="0097372A" w:rsidRPr="00EA444B" w:rsidRDefault="0097372A" w:rsidP="001812E3">
            <w:r w:rsidRPr="00EA444B">
              <w:t xml:space="preserve">Q-band </w:t>
            </w:r>
            <w:r w:rsidRPr="00EA444B">
              <w:tab/>
            </w:r>
          </w:p>
        </w:tc>
        <w:tc>
          <w:tcPr>
            <w:tcW w:w="3510" w:type="dxa"/>
          </w:tcPr>
          <w:p w14:paraId="4EEC35F5" w14:textId="42426F55" w:rsidR="0097372A" w:rsidRPr="00EA444B" w:rsidRDefault="0097372A">
            <w:r w:rsidRPr="00EA444B">
              <w:t>38.2-49.8 GHz</w:t>
            </w:r>
          </w:p>
        </w:tc>
        <w:tc>
          <w:tcPr>
            <w:tcW w:w="2520" w:type="dxa"/>
          </w:tcPr>
          <w:p w14:paraId="3B9A9E60" w14:textId="1B0400A4" w:rsidR="0097372A" w:rsidRPr="00EA444B" w:rsidRDefault="0097372A">
            <w:r w:rsidRPr="00EA444B">
              <w:t>Available</w:t>
            </w:r>
          </w:p>
        </w:tc>
        <w:tc>
          <w:tcPr>
            <w:tcW w:w="1620" w:type="dxa"/>
          </w:tcPr>
          <w:p w14:paraId="35BAA75C" w14:textId="10178F12" w:rsidR="0097372A" w:rsidRPr="00EA444B" w:rsidRDefault="0097372A">
            <w:r w:rsidRPr="00EA444B">
              <w:t>Gregorian</w:t>
            </w:r>
          </w:p>
        </w:tc>
      </w:tr>
      <w:tr w:rsidR="0097372A" w:rsidRPr="00EA444B" w14:paraId="3110C2A9" w14:textId="2F41CDBF" w:rsidTr="00A028D1">
        <w:tc>
          <w:tcPr>
            <w:tcW w:w="1885" w:type="dxa"/>
          </w:tcPr>
          <w:p w14:paraId="7185B229" w14:textId="0F37BCE6" w:rsidR="0097372A" w:rsidRPr="00EA444B" w:rsidRDefault="00C90E4E" w:rsidP="001812E3">
            <w:r w:rsidRPr="00EA444B">
              <w:t>W-band</w:t>
            </w:r>
            <w:r w:rsidR="0097372A" w:rsidRPr="00EA444B">
              <w:tab/>
            </w:r>
          </w:p>
        </w:tc>
        <w:tc>
          <w:tcPr>
            <w:tcW w:w="3510" w:type="dxa"/>
          </w:tcPr>
          <w:p w14:paraId="29509346" w14:textId="6CB34EC5" w:rsidR="0097372A" w:rsidRPr="00EA444B" w:rsidRDefault="0097372A">
            <w:r w:rsidRPr="00EA444B">
              <w:t>67</w:t>
            </w:r>
            <w:r w:rsidR="002C4739" w:rsidRPr="00EA444B">
              <w:t>–</w:t>
            </w:r>
            <w:r w:rsidRPr="00EA444B">
              <w:t>93.3 GHz</w:t>
            </w:r>
          </w:p>
        </w:tc>
        <w:tc>
          <w:tcPr>
            <w:tcW w:w="2520" w:type="dxa"/>
          </w:tcPr>
          <w:p w14:paraId="0A7EF022" w14:textId="03653304" w:rsidR="0097372A" w:rsidRPr="00EA444B" w:rsidRDefault="0097372A">
            <w:r w:rsidRPr="00EA444B">
              <w:t>Available</w:t>
            </w:r>
          </w:p>
        </w:tc>
        <w:tc>
          <w:tcPr>
            <w:tcW w:w="1620" w:type="dxa"/>
          </w:tcPr>
          <w:p w14:paraId="42CEF05D" w14:textId="481A1204" w:rsidR="0097372A" w:rsidRPr="00EA444B" w:rsidRDefault="0097372A">
            <w:r w:rsidRPr="00EA444B">
              <w:t>Gregorian</w:t>
            </w:r>
          </w:p>
        </w:tc>
      </w:tr>
      <w:tr w:rsidR="0097372A" w:rsidRPr="00EA444B" w14:paraId="43EDD286" w14:textId="6015D7B7" w:rsidTr="00A028D1">
        <w:tc>
          <w:tcPr>
            <w:tcW w:w="1885" w:type="dxa"/>
          </w:tcPr>
          <w:p w14:paraId="6B08994B" w14:textId="35CA9B31" w:rsidR="0097372A" w:rsidRPr="00EA444B" w:rsidRDefault="0097372A" w:rsidP="001812E3">
            <w:r w:rsidRPr="00EA444B">
              <w:t>ARGUS</w:t>
            </w:r>
            <w:r w:rsidRPr="00EA444B">
              <w:tab/>
            </w:r>
            <w:r w:rsidRPr="00EA444B">
              <w:tab/>
            </w:r>
          </w:p>
        </w:tc>
        <w:tc>
          <w:tcPr>
            <w:tcW w:w="3510" w:type="dxa"/>
          </w:tcPr>
          <w:p w14:paraId="2F0D96C5" w14:textId="35E1BDCC" w:rsidR="0097372A" w:rsidRPr="00EA444B" w:rsidRDefault="0097372A">
            <w:r w:rsidRPr="00EA444B">
              <w:t>80</w:t>
            </w:r>
            <w:r w:rsidR="002C4739" w:rsidRPr="00EA444B">
              <w:t>–</w:t>
            </w:r>
            <w:r w:rsidRPr="00EA444B">
              <w:t>115.3 GHz</w:t>
            </w:r>
            <w:r w:rsidR="00BC4691" w:rsidRPr="00EA444B">
              <w:t>, 16 pixels, Single Pol</w:t>
            </w:r>
          </w:p>
        </w:tc>
        <w:tc>
          <w:tcPr>
            <w:tcW w:w="2520" w:type="dxa"/>
          </w:tcPr>
          <w:p w14:paraId="41017B52" w14:textId="03CBA43E" w:rsidR="0097372A" w:rsidRPr="00EA444B" w:rsidRDefault="004572B6">
            <w:r>
              <w:t>Available</w:t>
            </w:r>
          </w:p>
        </w:tc>
        <w:tc>
          <w:tcPr>
            <w:tcW w:w="1620" w:type="dxa"/>
          </w:tcPr>
          <w:p w14:paraId="70E4CB95" w14:textId="0E57194F" w:rsidR="0097372A" w:rsidRPr="00EA444B" w:rsidRDefault="0097372A">
            <w:r w:rsidRPr="00EA444B">
              <w:t>Gregorian</w:t>
            </w:r>
          </w:p>
        </w:tc>
      </w:tr>
      <w:tr w:rsidR="0097372A" w:rsidRPr="00EA444B" w14:paraId="71011A0E" w14:textId="7550DE62" w:rsidTr="00A028D1">
        <w:tc>
          <w:tcPr>
            <w:tcW w:w="1885" w:type="dxa"/>
          </w:tcPr>
          <w:p w14:paraId="15B23753" w14:textId="444345BE" w:rsidR="0097372A" w:rsidRPr="00EA444B" w:rsidRDefault="0097372A" w:rsidP="001812E3">
            <w:r w:rsidRPr="00EA444B">
              <w:t xml:space="preserve">MUSTANG2 </w:t>
            </w:r>
          </w:p>
        </w:tc>
        <w:tc>
          <w:tcPr>
            <w:tcW w:w="3510" w:type="dxa"/>
          </w:tcPr>
          <w:p w14:paraId="37165041" w14:textId="303B1A0B" w:rsidR="0097372A" w:rsidRPr="00EA444B" w:rsidRDefault="00286E93">
            <w:r w:rsidRPr="00EA444B">
              <w:t>75</w:t>
            </w:r>
            <w:r w:rsidR="002C4739" w:rsidRPr="00EA444B">
              <w:t>–</w:t>
            </w:r>
            <w:r w:rsidRPr="00EA444B">
              <w:t xml:space="preserve">105 GHz, </w:t>
            </w:r>
            <w:r w:rsidR="00BC4691" w:rsidRPr="00EA444B">
              <w:t>223 pixels, bolometer</w:t>
            </w:r>
          </w:p>
        </w:tc>
        <w:tc>
          <w:tcPr>
            <w:tcW w:w="2520" w:type="dxa"/>
          </w:tcPr>
          <w:p w14:paraId="3A704CE3" w14:textId="63CA2646" w:rsidR="0097372A" w:rsidRPr="00EA444B" w:rsidRDefault="004572B6">
            <w:r>
              <w:t>Available</w:t>
            </w:r>
          </w:p>
        </w:tc>
        <w:tc>
          <w:tcPr>
            <w:tcW w:w="1620" w:type="dxa"/>
          </w:tcPr>
          <w:p w14:paraId="014280E7" w14:textId="139754D4" w:rsidR="0097372A" w:rsidRPr="00EA444B" w:rsidRDefault="00BC4691">
            <w:r w:rsidRPr="00EA444B">
              <w:t>Gregorian</w:t>
            </w:r>
          </w:p>
        </w:tc>
      </w:tr>
    </w:tbl>
    <w:p w14:paraId="1BF5EF31" w14:textId="77777777" w:rsidR="000001D6" w:rsidRPr="00EA444B" w:rsidRDefault="000001D6" w:rsidP="001812E3"/>
    <w:p w14:paraId="0B25FE29" w14:textId="339D9210" w:rsidR="00F13439" w:rsidRPr="00EA444B" w:rsidRDefault="00F13439" w:rsidP="00BE3952">
      <w:pPr>
        <w:pStyle w:val="Heading3"/>
      </w:pPr>
      <w:bookmarkStart w:id="253" w:name="_Toc535931427"/>
      <w:bookmarkStart w:id="254" w:name="_Toc535932353"/>
      <w:bookmarkStart w:id="255" w:name="_Toc535932648"/>
      <w:bookmarkStart w:id="256" w:name="_Toc535936084"/>
      <w:bookmarkStart w:id="257" w:name="_Toc535936250"/>
      <w:bookmarkStart w:id="258" w:name="_Toc535936168"/>
      <w:bookmarkStart w:id="259" w:name="_Toc535936513"/>
      <w:bookmarkStart w:id="260" w:name="_Toc536007074"/>
      <w:bookmarkStart w:id="261" w:name="_Toc536007464"/>
      <w:bookmarkStart w:id="262" w:name="_Toc536007854"/>
      <w:bookmarkStart w:id="263" w:name="_Toc535936170"/>
      <w:bookmarkStart w:id="264" w:name="_Toc337095"/>
      <w:bookmarkEnd w:id="253"/>
      <w:bookmarkEnd w:id="254"/>
      <w:bookmarkEnd w:id="255"/>
      <w:bookmarkEnd w:id="256"/>
      <w:bookmarkEnd w:id="257"/>
      <w:bookmarkEnd w:id="258"/>
      <w:bookmarkEnd w:id="259"/>
      <w:bookmarkEnd w:id="260"/>
      <w:bookmarkEnd w:id="261"/>
      <w:bookmarkEnd w:id="262"/>
      <w:r w:rsidRPr="00EA444B">
        <w:t>GBT Instruments – Backends</w:t>
      </w:r>
      <w:bookmarkEnd w:id="263"/>
      <w:bookmarkEnd w:id="264"/>
    </w:p>
    <w:p w14:paraId="4B9424AA" w14:textId="088A7485" w:rsidR="00F13439" w:rsidRPr="00EA444B" w:rsidRDefault="00F13439">
      <w:proofErr w:type="spellStart"/>
      <w:r w:rsidRPr="00F47EF1">
        <w:rPr>
          <w:b/>
        </w:rPr>
        <w:t>VErsatile</w:t>
      </w:r>
      <w:proofErr w:type="spellEnd"/>
      <w:r w:rsidRPr="00F47EF1">
        <w:rPr>
          <w:b/>
        </w:rPr>
        <w:t xml:space="preserve"> GBT Astronomical Spectrometer (VEGAS)</w:t>
      </w:r>
      <w:r w:rsidRPr="00F47EF1">
        <w:t>:</w:t>
      </w:r>
      <w:r w:rsidRPr="00EA444B">
        <w:t xml:space="preserve"> VEGAS is a Field Programmable Gate Array (FPGA) and Graphical Processing Unit (GPU)-based backend comprised o</w:t>
      </w:r>
      <w:r w:rsidR="00B01283">
        <w:t>f eight spectrometers that can operate</w:t>
      </w:r>
      <w:r w:rsidRPr="00EA444B">
        <w:t xml:space="preserve"> independently. Observers can simultaneously use any combination of spectrometers: from one to eight. VEGAS features a </w:t>
      </w:r>
      <w:r w:rsidR="003F1BD6" w:rsidRPr="00EA444B">
        <w:t xml:space="preserve">high </w:t>
      </w:r>
      <w:r w:rsidRPr="00EA444B">
        <w:t xml:space="preserve">dynamic range and can retain a linear response in the presence of strong radio frequency interference (RFI). </w:t>
      </w:r>
      <w:r w:rsidR="00541206" w:rsidRPr="00541206">
        <w:t xml:space="preserve">VEGAS </w:t>
      </w:r>
      <w:r w:rsidR="00097BF1">
        <w:t>supports</w:t>
      </w:r>
      <w:r w:rsidR="00541206" w:rsidRPr="00541206">
        <w:t xml:space="preserve"> spectral line modes, which provide high frequency and moderate time resolution, as well as in pulsar modes, which provide moderate frequency resolution and high time resolution. VEGAS pulsar modes also offer specialized signal processing capabilities for coherent </w:t>
      </w:r>
      <w:proofErr w:type="spellStart"/>
      <w:r w:rsidR="00541206" w:rsidRPr="00541206">
        <w:t>dedispersion</w:t>
      </w:r>
      <w:proofErr w:type="spellEnd"/>
      <w:r w:rsidR="00541206" w:rsidRPr="00541206">
        <w:t xml:space="preserve"> and online phase folding</w:t>
      </w:r>
      <w:r w:rsidR="007A4E35" w:rsidRPr="00EA444B">
        <w:t xml:space="preserve"> </w:t>
      </w:r>
    </w:p>
    <w:p w14:paraId="3A884748" w14:textId="0B036387" w:rsidR="00F13439" w:rsidRPr="00EA444B" w:rsidRDefault="00F13439">
      <w:r w:rsidRPr="00F47EF1">
        <w:rPr>
          <w:b/>
        </w:rPr>
        <w:t>Digital Continuum Receiver (DCR)</w:t>
      </w:r>
      <w:r w:rsidRPr="00EA444B">
        <w:t>: The DCR is the general</w:t>
      </w:r>
      <w:r w:rsidR="00A92B54" w:rsidRPr="00EA444B">
        <w:t>-</w:t>
      </w:r>
      <w:r w:rsidRPr="00EA444B">
        <w:t xml:space="preserve">purpose GBT continuum backend and is used for utility observations (pointing, focus, and beam-map calibrations, etc.) and continuum </w:t>
      </w:r>
      <w:r w:rsidRPr="00EA444B">
        <w:lastRenderedPageBreak/>
        <w:t>astronomical observations, including point-source on/off, and extended source mapping.</w:t>
      </w:r>
      <w:r w:rsidR="00F712F0" w:rsidRPr="00EA444B">
        <w:t xml:space="preserve"> This backend is the principle instrument used for measuring the GBT surface accuracy before high frequency observations.</w:t>
      </w:r>
    </w:p>
    <w:p w14:paraId="7C9FFE40" w14:textId="6A050D93" w:rsidR="00F13439" w:rsidRPr="00A859C5" w:rsidRDefault="00DB26A1">
      <w:r w:rsidRPr="00F47EF1">
        <w:rPr>
          <w:b/>
        </w:rPr>
        <w:t>Mark 6</w:t>
      </w:r>
      <w:r w:rsidR="00F13439" w:rsidRPr="00A859C5">
        <w:t xml:space="preserve">: VLBI/VLBA observing with the GBT is supported with a VLBA backend using the </w:t>
      </w:r>
      <w:r w:rsidRPr="00A859C5">
        <w:t>Mark 6</w:t>
      </w:r>
      <w:r w:rsidR="00F13439" w:rsidRPr="00A859C5">
        <w:t xml:space="preserve"> recording system. </w:t>
      </w:r>
    </w:p>
    <w:p w14:paraId="44213CA6" w14:textId="367047C7" w:rsidR="00F13439" w:rsidRPr="00EA444B" w:rsidRDefault="00F13439">
      <w:r w:rsidRPr="00F47EF1">
        <w:rPr>
          <w:b/>
        </w:rPr>
        <w:t>Caltech Continuum Backend (CCB)</w:t>
      </w:r>
      <w:r w:rsidRPr="00EA444B">
        <w:t xml:space="preserve">: The CCB is a sensitive, wide band backend designed exclusively for use with the GBT Ka-Band receiver at 26–40 GHz. It provides carefully optimized wideband detector circuits and the capability to beam-switch the receiver rapidly to suppress instrumental gain fluctuations. </w:t>
      </w:r>
    </w:p>
    <w:p w14:paraId="51672CED" w14:textId="2FB0ABB7" w:rsidR="003F1BD6" w:rsidRPr="00EA444B" w:rsidRDefault="003F1BD6">
      <w:r w:rsidRPr="00F47EF1">
        <w:rPr>
          <w:b/>
        </w:rPr>
        <w:t>JPL Radar Backend</w:t>
      </w:r>
      <w:r w:rsidRPr="00EA444B">
        <w:t>: This backend is available for general use, but requires expert users to operate and reduce the data. It was developed primarily for bi-static radar observation and has more options for bandwidths and sample rates than the PFS backend.</w:t>
      </w:r>
    </w:p>
    <w:p w14:paraId="7EFD1C84" w14:textId="436774CA" w:rsidR="00564E25" w:rsidRPr="00EA444B" w:rsidRDefault="00D12889">
      <w:r w:rsidRPr="00F47EF1">
        <w:rPr>
          <w:b/>
        </w:rPr>
        <w:t>Portable Fast Sampler (</w:t>
      </w:r>
      <w:r w:rsidR="00564E25" w:rsidRPr="00F47EF1">
        <w:rPr>
          <w:b/>
        </w:rPr>
        <w:t>PFS</w:t>
      </w:r>
      <w:r w:rsidRPr="00F47EF1">
        <w:rPr>
          <w:b/>
        </w:rPr>
        <w:t>)</w:t>
      </w:r>
      <w:r w:rsidR="00564E25" w:rsidRPr="00F47EF1">
        <w:rPr>
          <w:b/>
        </w:rPr>
        <w:t xml:space="preserve"> Radar</w:t>
      </w:r>
      <w:r w:rsidR="00564E25" w:rsidRPr="00EA444B">
        <w:t xml:space="preserve">: The PFS Radar backend is a private user backend </w:t>
      </w:r>
      <w:r w:rsidR="00097BF1">
        <w:t xml:space="preserve">rarely </w:t>
      </w:r>
      <w:r w:rsidR="00564E25" w:rsidRPr="00EA444B">
        <w:t xml:space="preserve">used primarily, but not exclusively, for bi-static radar observations. </w:t>
      </w:r>
    </w:p>
    <w:p w14:paraId="3A20A02F" w14:textId="2AB2FC1D" w:rsidR="00777E1D" w:rsidRPr="00EA444B" w:rsidRDefault="00564E25">
      <w:r w:rsidRPr="00F47EF1">
        <w:rPr>
          <w:b/>
        </w:rPr>
        <w:t>Breakthrough Listen</w:t>
      </w:r>
      <w:r w:rsidR="00F47EF1">
        <w:t xml:space="preserve">: </w:t>
      </w:r>
      <w:r w:rsidRPr="00EA444B">
        <w:t>The Breakthrough Listen project makes its backend available for up to 50 hours of shared-risk observations during each semester. The instrument consists</w:t>
      </w:r>
      <w:r w:rsidR="00B42FE0">
        <w:t xml:space="preserve"> of a cluster of 64</w:t>
      </w:r>
      <w:r w:rsidRPr="00EA444B">
        <w:t xml:space="preserve"> Titan X and 1080 GPU-based servers capturing</w:t>
      </w:r>
      <w:r w:rsidR="00B42FE0">
        <w:t xml:space="preserve"> 8-bit baseband voltages up to 1</w:t>
      </w:r>
      <w:r w:rsidR="000D0928">
        <w:t>2</w:t>
      </w:r>
      <w:r w:rsidRPr="00EA444B">
        <w:t xml:space="preserve"> GHz of instantaneous bandwidth. Data rates are typically tens of TB/hr</w:t>
      </w:r>
      <w:r w:rsidR="000D0928">
        <w:t>.</w:t>
      </w:r>
      <w:r w:rsidRPr="00EA444B">
        <w:t xml:space="preserve"> but a pipeline is available to generate spectra </w:t>
      </w:r>
      <w:r w:rsidR="000D0928">
        <w:t xml:space="preserve">with adjustable frequency (&gt; 3 </w:t>
      </w:r>
      <w:r w:rsidRPr="00EA444B">
        <w:t xml:space="preserve">Hz) and time (&gt; 350 </w:t>
      </w:r>
      <w:proofErr w:type="spellStart"/>
      <w:r w:rsidRPr="00EA444B">
        <w:rPr>
          <w:rFonts w:ascii="Calibri" w:hAnsi="Calibri" w:cs="Calibri"/>
        </w:rPr>
        <w:t>μ</w:t>
      </w:r>
      <w:r w:rsidRPr="00EA444B">
        <w:t>s</w:t>
      </w:r>
      <w:proofErr w:type="spellEnd"/>
      <w:r w:rsidRPr="00EA444B">
        <w:t xml:space="preserve">) resolutions, </w:t>
      </w:r>
      <w:r w:rsidR="000B51F2" w:rsidRPr="00EA444B">
        <w:t xml:space="preserve">for </w:t>
      </w:r>
      <w:r w:rsidRPr="00EA444B">
        <w:t xml:space="preserve">possible science applications including fast radio transients, pulsar observations, stellar flares, SETI, etc. Before submitting a proposal, proposers must obtain permission </w:t>
      </w:r>
      <w:r w:rsidR="000B51F2" w:rsidRPr="00EA444B">
        <w:t>to use the backend</w:t>
      </w:r>
      <w:r w:rsidRPr="00EA444B">
        <w:t xml:space="preserve"> from the Breakthrough Listen team at </w:t>
      </w:r>
      <w:r w:rsidR="00AD6A98" w:rsidRPr="00EA444B">
        <w:t xml:space="preserve">the </w:t>
      </w:r>
      <w:r w:rsidRPr="00EA444B">
        <w:t xml:space="preserve">Berkeley </w:t>
      </w:r>
      <w:r w:rsidR="00AD6A98" w:rsidRPr="00EA444B">
        <w:t>Search for Extra Terrestrial Intelligence (</w:t>
      </w:r>
      <w:r w:rsidRPr="00EA444B">
        <w:t>SETI</w:t>
      </w:r>
      <w:r w:rsidR="00AD6A98" w:rsidRPr="00EA444B">
        <w:t>)</w:t>
      </w:r>
      <w:r w:rsidRPr="00EA444B">
        <w:t xml:space="preserve"> Research Center.</w:t>
      </w:r>
    </w:p>
    <w:p w14:paraId="1B10A106" w14:textId="7E6A6EC0" w:rsidR="00DC5E99" w:rsidRPr="00EA444B" w:rsidRDefault="00DC5E99" w:rsidP="00BE3952">
      <w:pPr>
        <w:pStyle w:val="Heading2"/>
      </w:pPr>
      <w:bookmarkStart w:id="265" w:name="_Toc535925796"/>
      <w:bookmarkStart w:id="266" w:name="_Toc535931429"/>
      <w:bookmarkStart w:id="267" w:name="_Toc535932355"/>
      <w:bookmarkStart w:id="268" w:name="_Toc535932650"/>
      <w:bookmarkStart w:id="269" w:name="_Toc535936086"/>
      <w:bookmarkStart w:id="270" w:name="_Toc535936252"/>
      <w:bookmarkStart w:id="271" w:name="_Toc535936171"/>
      <w:bookmarkStart w:id="272" w:name="_Toc535936515"/>
      <w:bookmarkStart w:id="273" w:name="_Toc536007076"/>
      <w:bookmarkStart w:id="274" w:name="_Toc536007466"/>
      <w:bookmarkStart w:id="275" w:name="_Toc536007856"/>
      <w:bookmarkStart w:id="276" w:name="_Toc535936172"/>
      <w:bookmarkStart w:id="277" w:name="_Toc337096"/>
      <w:bookmarkStart w:id="278" w:name="_Toc83886112"/>
      <w:bookmarkEnd w:id="265"/>
      <w:bookmarkEnd w:id="266"/>
      <w:bookmarkEnd w:id="267"/>
      <w:bookmarkEnd w:id="268"/>
      <w:bookmarkEnd w:id="269"/>
      <w:bookmarkEnd w:id="270"/>
      <w:bookmarkEnd w:id="271"/>
      <w:bookmarkEnd w:id="272"/>
      <w:bookmarkEnd w:id="273"/>
      <w:bookmarkEnd w:id="274"/>
      <w:bookmarkEnd w:id="275"/>
      <w:r w:rsidRPr="00EA444B">
        <w:t>Time Allocation</w:t>
      </w:r>
      <w:bookmarkEnd w:id="276"/>
      <w:bookmarkEnd w:id="277"/>
      <w:bookmarkEnd w:id="278"/>
    </w:p>
    <w:p w14:paraId="0D2E2E79" w14:textId="22BC8CF8" w:rsidR="00705878" w:rsidRPr="00EA444B" w:rsidRDefault="008109D3">
      <w:pPr>
        <w:pStyle w:val="PlainText"/>
      </w:pPr>
      <w:r>
        <w:t xml:space="preserve">The GBO </w:t>
      </w:r>
      <w:r w:rsidR="00705878" w:rsidRPr="00EA444B">
        <w:t>is committed to the Open Skies policy, and will provide access to the</w:t>
      </w:r>
      <w:r w:rsidR="00916FF2" w:rsidRPr="00EA444B">
        <w:t xml:space="preserve"> </w:t>
      </w:r>
      <w:r w:rsidR="00705878" w:rsidRPr="00EA444B">
        <w:t>worldwide scientific community to use the GBT through a peer-reviewed proposal process. The time available for Open Skies is</w:t>
      </w:r>
      <w:r w:rsidR="00415847">
        <w:t xml:space="preserve"> </w:t>
      </w:r>
      <w:r w:rsidR="00CB7EC4">
        <w:t>proportionate</w:t>
      </w:r>
      <w:r w:rsidR="00B814B9" w:rsidRPr="00EA444B">
        <w:t xml:space="preserve"> </w:t>
      </w:r>
      <w:r w:rsidR="00705878" w:rsidRPr="00EA444B">
        <w:t xml:space="preserve">to the fraction of the operational funds contributed by the NSF. </w:t>
      </w:r>
    </w:p>
    <w:p w14:paraId="4F295056" w14:textId="49A70F8F" w:rsidR="00705878" w:rsidRPr="00EA444B" w:rsidRDefault="008109D3">
      <w:pPr>
        <w:rPr>
          <w:spacing w:val="-4"/>
        </w:rPr>
      </w:pPr>
      <w:r>
        <w:t>GBO’s</w:t>
      </w:r>
      <w:r w:rsidR="00705878" w:rsidRPr="00EA444B">
        <w:t xml:space="preserve"> Telescope Time Allocation (TTA) process, which is administered by NRAO, provid</w:t>
      </w:r>
      <w:r w:rsidR="009A4756" w:rsidRPr="00EA444B">
        <w:t>es</w:t>
      </w:r>
      <w:r w:rsidR="00705878" w:rsidRPr="00EA444B">
        <w:t xml:space="preserve"> tools by which proposals are prepared, submitted, and peer reviewed; and by which telescope time is allocated. </w:t>
      </w:r>
      <w:r w:rsidR="00916FF2" w:rsidRPr="00EA444B">
        <w:t xml:space="preserve">To minimize the burden on the scientific community and to provide a </w:t>
      </w:r>
      <w:r w:rsidR="00027B12" w:rsidRPr="00EA444B">
        <w:t>cost-effective</w:t>
      </w:r>
      <w:r w:rsidR="00916FF2" w:rsidRPr="00EA444B">
        <w:t xml:space="preserve"> proposal evaluation process, proposals for all </w:t>
      </w:r>
      <w:r>
        <w:t xml:space="preserve">GBO </w:t>
      </w:r>
      <w:r w:rsidR="00205F1E">
        <w:t xml:space="preserve">and </w:t>
      </w:r>
      <w:r w:rsidR="00916FF2" w:rsidRPr="00EA444B">
        <w:t xml:space="preserve">NRAO Open Skies </w:t>
      </w:r>
      <w:r w:rsidR="00916FF2" w:rsidRPr="00EA444B">
        <w:rPr>
          <w:spacing w:val="-4"/>
        </w:rPr>
        <w:t xml:space="preserve">telescope time </w:t>
      </w:r>
      <w:r w:rsidR="00705878" w:rsidRPr="00EA444B">
        <w:rPr>
          <w:spacing w:val="-4"/>
        </w:rPr>
        <w:t>are handled through a single, unified scientific evaluation and time allocation process.</w:t>
      </w:r>
    </w:p>
    <w:p w14:paraId="1E1CA31D" w14:textId="629E39E9" w:rsidR="00705878" w:rsidRPr="00EA444B" w:rsidRDefault="00705878">
      <w:pPr>
        <w:rPr>
          <w:i/>
        </w:rPr>
      </w:pPr>
      <w:r w:rsidRPr="00EA444B">
        <w:t xml:space="preserve">The </w:t>
      </w:r>
      <w:r w:rsidR="008109D3">
        <w:t>GBO</w:t>
      </w:r>
      <w:r w:rsidR="00A92B54" w:rsidRPr="00EA444B">
        <w:t>’s</w:t>
      </w:r>
      <w:r w:rsidRPr="00EA444B">
        <w:t xml:space="preserve"> proposal process is semester-based with </w:t>
      </w:r>
      <w:r w:rsidR="007C5BA8">
        <w:t>FY202</w:t>
      </w:r>
      <w:r w:rsidR="00172B8F">
        <w:t>2</w:t>
      </w:r>
      <w:r w:rsidRPr="00EA444B">
        <w:t xml:space="preserve"> proposal dead</w:t>
      </w:r>
      <w:r w:rsidR="007C5BA8">
        <w:t xml:space="preserve">lines of February 1 and August </w:t>
      </w:r>
      <w:r w:rsidR="00172B8F">
        <w:t>1</w:t>
      </w:r>
      <w:r w:rsidR="00205F1E">
        <w:t xml:space="preserve"> (5pm ET)</w:t>
      </w:r>
      <w:r w:rsidR="007C5BA8">
        <w:t>. T</w:t>
      </w:r>
      <w:r w:rsidRPr="00EA444B">
        <w:t xml:space="preserve">he TTA group will prepare each Call for Proposals and all the associated documentation regarding schedules and the observing capabilities to be offered, and will support astronomers with any issues they may encounter during the submission process. All proposals will be evaluated on the basis of scientific merit by </w:t>
      </w:r>
      <w:r w:rsidR="00B814B9" w:rsidRPr="00EA444B">
        <w:t xml:space="preserve">one of a number of </w:t>
      </w:r>
      <w:r w:rsidRPr="00EA444B">
        <w:t xml:space="preserve">Science Review Panels (SRP), each covering a different category of scientific inquiry. SRP members are recruited from the scientific community for a typical term of four semesters, or two years. Proposals will also be reviewed for technical feasibility by members of </w:t>
      </w:r>
      <w:r w:rsidR="004C72D0">
        <w:t>GBO</w:t>
      </w:r>
      <w:r w:rsidR="005C51A2" w:rsidRPr="00EA444B">
        <w:t>’s</w:t>
      </w:r>
      <w:r w:rsidRPr="00EA444B">
        <w:t xml:space="preserve"> scientific staff. Scientific and technical reviews are forwarded to the Time Allocation Committee (TAC) comprised of the chairs of the SRPs. The TAC will recommend the time allocations on the GBT to the </w:t>
      </w:r>
      <w:r w:rsidR="00E93BB0">
        <w:lastRenderedPageBreak/>
        <w:t>GBO</w:t>
      </w:r>
      <w:r w:rsidR="00E93BB0" w:rsidRPr="00EA444B">
        <w:t xml:space="preserve"> </w:t>
      </w:r>
      <w:r w:rsidRPr="00EA444B">
        <w:t>Director. After consideration of TAC recommendations by the Director, disposition letters will be sent to proposers and the approved science programs will be posted online.</w:t>
      </w:r>
    </w:p>
    <w:p w14:paraId="5E0799B1" w14:textId="59A627BF" w:rsidR="00705878" w:rsidRPr="00A859C5" w:rsidRDefault="007C5BA8">
      <w:r w:rsidRPr="00A859C5">
        <w:t>P</w:t>
      </w:r>
      <w:r w:rsidR="00705878" w:rsidRPr="00A859C5">
        <w:t xml:space="preserve">roposals for </w:t>
      </w:r>
      <w:r w:rsidR="009707E6" w:rsidRPr="00A859C5">
        <w:t>GB</w:t>
      </w:r>
      <w:r w:rsidR="00E93BB0">
        <w:t>O</w:t>
      </w:r>
      <w:r w:rsidR="009707E6" w:rsidRPr="00A859C5">
        <w:t xml:space="preserve"> </w:t>
      </w:r>
      <w:r w:rsidR="00705878" w:rsidRPr="00A859C5">
        <w:t>Director's Discretionary Time (DDT) will be submitted at any time through the Proposal Submission Tool (PST), one of the tools maintained by the NRAO for the scientific users’ community. DDT proposals are intended to address target</w:t>
      </w:r>
      <w:r w:rsidR="009707E6" w:rsidRPr="00A859C5">
        <w:t>s</w:t>
      </w:r>
      <w:r w:rsidR="00705878" w:rsidRPr="00A859C5">
        <w:t xml:space="preserve"> of opportunity, high-risk/high-return exploratory time, or other science opportunities deemed sufficiently urgent to justify prompt action. DDT proposals may also be submitted for the education and public outreach, e.g., to observe an iconic source or to support an educational opportunity for students</w:t>
      </w:r>
      <w:r w:rsidR="00205F1E">
        <w:t xml:space="preserve"> if such proposals are coordinated with </w:t>
      </w:r>
      <w:r w:rsidR="00E93BB0">
        <w:t xml:space="preserve">GBO’s </w:t>
      </w:r>
      <w:r w:rsidR="00205F1E">
        <w:t>EPO activities</w:t>
      </w:r>
      <w:r w:rsidR="00705878" w:rsidRPr="00A859C5">
        <w:t xml:space="preserve">. Overall, it is expected that </w:t>
      </w:r>
      <w:r w:rsidR="00DB26A1" w:rsidRPr="00A859C5">
        <w:t xml:space="preserve">approximately </w:t>
      </w:r>
      <w:r w:rsidR="009707E6" w:rsidRPr="00A859C5">
        <w:t xml:space="preserve">5% but </w:t>
      </w:r>
      <w:r w:rsidR="00705878" w:rsidRPr="00A859C5">
        <w:t xml:space="preserve">no more than </w:t>
      </w:r>
      <w:r w:rsidR="00564E25" w:rsidRPr="00A859C5">
        <w:t>10%</w:t>
      </w:r>
      <w:r w:rsidR="00705878" w:rsidRPr="00A859C5">
        <w:t xml:space="preserve"> of Open Skies observing time on the GBT will be allocated </w:t>
      </w:r>
      <w:r w:rsidR="00172B8F">
        <w:t>in FY2022</w:t>
      </w:r>
      <w:r w:rsidRPr="00A859C5">
        <w:t xml:space="preserve"> </w:t>
      </w:r>
      <w:r w:rsidR="00705878" w:rsidRPr="00A859C5">
        <w:t>for DDT proposals.</w:t>
      </w:r>
    </w:p>
    <w:p w14:paraId="6918E5E7" w14:textId="01C01A90" w:rsidR="00705878" w:rsidRPr="00EA444B" w:rsidRDefault="00705878">
      <w:r w:rsidRPr="00EA444B">
        <w:t xml:space="preserve">DDT proposals will be reviewed by the </w:t>
      </w:r>
      <w:r w:rsidR="00830F6D">
        <w:t>GBO</w:t>
      </w:r>
      <w:r w:rsidR="00830F6D" w:rsidRPr="00EA444B">
        <w:t xml:space="preserve"> </w:t>
      </w:r>
      <w:r w:rsidRPr="00EA444B">
        <w:t xml:space="preserve">Director and a small committee of </w:t>
      </w:r>
      <w:r w:rsidR="00830F6D">
        <w:t>GBO</w:t>
      </w:r>
      <w:r w:rsidR="00830F6D" w:rsidRPr="00EA444B">
        <w:t xml:space="preserve"> </w:t>
      </w:r>
      <w:r w:rsidRPr="00EA444B">
        <w:t xml:space="preserve">scientific staff members on the basis of the proposal’s scientific merit and technical feasibility in accordance with </w:t>
      </w:r>
      <w:r w:rsidR="00830F6D">
        <w:t>GBO</w:t>
      </w:r>
      <w:r w:rsidRPr="00EA444B">
        <w:t xml:space="preserve">’s policy regarding non-disclosure and conflict of interest. Disposition of DDT proposals will be ultimately determined by the </w:t>
      </w:r>
      <w:r w:rsidR="00830F6D">
        <w:t>GBO</w:t>
      </w:r>
      <w:r w:rsidR="00830F6D" w:rsidRPr="00EA444B">
        <w:t xml:space="preserve"> </w:t>
      </w:r>
      <w:r w:rsidRPr="00EA444B">
        <w:t xml:space="preserve">Director </w:t>
      </w:r>
      <w:r w:rsidR="00916FF2" w:rsidRPr="00EA444B">
        <w:t xml:space="preserve">or </w:t>
      </w:r>
      <w:r w:rsidRPr="00EA444B">
        <w:t>their designee. If a DDT proposal is declined, a brief justification will be provided to the proposing team. If a DDT proposal is approved, then a</w:t>
      </w:r>
      <w:r w:rsidR="00A859C5">
        <w:t xml:space="preserve"> </w:t>
      </w:r>
      <w:r w:rsidRPr="00EA444B">
        <w:t>proprietary period</w:t>
      </w:r>
      <w:r w:rsidR="00A859C5">
        <w:t xml:space="preserve"> </w:t>
      </w:r>
      <w:r w:rsidRPr="00EA444B">
        <w:t xml:space="preserve">is assigned for the data based on scientific and programmatic considerations. </w:t>
      </w:r>
    </w:p>
    <w:p w14:paraId="48A06149" w14:textId="75E4140D" w:rsidR="00705878" w:rsidRPr="00417AB4" w:rsidRDefault="00705878">
      <w:pPr>
        <w:rPr>
          <w:spacing w:val="-4"/>
        </w:rPr>
      </w:pPr>
      <w:r w:rsidRPr="00417AB4">
        <w:rPr>
          <w:spacing w:val="-4"/>
        </w:rPr>
        <w:t xml:space="preserve">For help with proposals and various other topics, users </w:t>
      </w:r>
      <w:r w:rsidR="001D2F3A" w:rsidRPr="00417AB4">
        <w:rPr>
          <w:spacing w:val="-4"/>
        </w:rPr>
        <w:t xml:space="preserve">contact </w:t>
      </w:r>
      <w:r w:rsidR="00830F6D" w:rsidRPr="00417AB4">
        <w:rPr>
          <w:spacing w:val="-4"/>
        </w:rPr>
        <w:t>GBO</w:t>
      </w:r>
      <w:r w:rsidR="001D2F3A" w:rsidRPr="00417AB4">
        <w:rPr>
          <w:spacing w:val="-4"/>
        </w:rPr>
        <w:t xml:space="preserve"> science support staff or </w:t>
      </w:r>
      <w:r w:rsidRPr="00417AB4">
        <w:rPr>
          <w:spacing w:val="-4"/>
        </w:rPr>
        <w:t>send their queries through the online O</w:t>
      </w:r>
      <w:r w:rsidR="00C929DB" w:rsidRPr="00417AB4">
        <w:rPr>
          <w:spacing w:val="-4"/>
        </w:rPr>
        <w:t>bservatory</w:t>
      </w:r>
      <w:r w:rsidRPr="00417AB4">
        <w:rPr>
          <w:spacing w:val="-4"/>
        </w:rPr>
        <w:t xml:space="preserve"> helpdesk, a web-based interface designed to </w:t>
      </w:r>
      <w:r w:rsidR="008109D3" w:rsidRPr="00417AB4">
        <w:rPr>
          <w:spacing w:val="-4"/>
        </w:rPr>
        <w:t>aid</w:t>
      </w:r>
      <w:r w:rsidRPr="00417AB4">
        <w:rPr>
          <w:spacing w:val="-4"/>
        </w:rPr>
        <w:t xml:space="preserve"> with proposal submission, observation preparation, archive access, data reduction and analysis, O</w:t>
      </w:r>
      <w:r w:rsidR="00C929DB" w:rsidRPr="00417AB4">
        <w:rPr>
          <w:spacing w:val="-4"/>
        </w:rPr>
        <w:t>bservatory</w:t>
      </w:r>
      <w:r w:rsidRPr="00417AB4">
        <w:rPr>
          <w:spacing w:val="-4"/>
        </w:rPr>
        <w:t xml:space="preserve"> cluster and computing access</w:t>
      </w:r>
      <w:r w:rsidR="000B51F2" w:rsidRPr="00417AB4">
        <w:rPr>
          <w:spacing w:val="-4"/>
        </w:rPr>
        <w:t>,</w:t>
      </w:r>
      <w:r w:rsidRPr="00417AB4">
        <w:rPr>
          <w:spacing w:val="-4"/>
        </w:rPr>
        <w:t xml:space="preserve"> and user accounts. The helpdesk is departmentalized based on these topics and managed by </w:t>
      </w:r>
      <w:r w:rsidR="00830F6D" w:rsidRPr="00417AB4">
        <w:rPr>
          <w:spacing w:val="-4"/>
        </w:rPr>
        <w:t xml:space="preserve">GBO </w:t>
      </w:r>
      <w:r w:rsidR="00C929DB" w:rsidRPr="00417AB4">
        <w:rPr>
          <w:spacing w:val="-4"/>
        </w:rPr>
        <w:t xml:space="preserve">and </w:t>
      </w:r>
      <w:r w:rsidRPr="00417AB4">
        <w:rPr>
          <w:spacing w:val="-4"/>
        </w:rPr>
        <w:t>NRAO staff to ensure prompt responses and service to the individuals in our user community. The O</w:t>
      </w:r>
      <w:r w:rsidR="00C929DB" w:rsidRPr="00417AB4">
        <w:rPr>
          <w:spacing w:val="-4"/>
        </w:rPr>
        <w:t>bservatory</w:t>
      </w:r>
      <w:r w:rsidRPr="00417AB4">
        <w:rPr>
          <w:spacing w:val="-4"/>
        </w:rPr>
        <w:t xml:space="preserve"> helpdesk also hosts a set of knowledge base articles reflecting common practices and guidelines. </w:t>
      </w:r>
    </w:p>
    <w:p w14:paraId="78D9142A" w14:textId="3FCE5ECF" w:rsidR="0085663C" w:rsidRPr="00EA444B" w:rsidRDefault="0085663C">
      <w:r w:rsidRPr="0085663C">
        <w:t>Replacing the NRAO and GBO TTA tool suite</w:t>
      </w:r>
      <w:r>
        <w:t xml:space="preserve"> and databases is a major </w:t>
      </w:r>
      <w:r w:rsidR="00097BF1">
        <w:t>joint GBO and NRAO</w:t>
      </w:r>
      <w:r w:rsidR="00DB26A1">
        <w:t xml:space="preserve"> initiative (see Section </w:t>
      </w:r>
      <w:r w:rsidR="008F7AB6">
        <w:t>8.4.1</w:t>
      </w:r>
      <w:r w:rsidRPr="0085663C">
        <w:t xml:space="preserve">). To address the gender-related systematics, double anonymous </w:t>
      </w:r>
      <w:r w:rsidR="00097BF1">
        <w:t xml:space="preserve">proposal </w:t>
      </w:r>
      <w:r w:rsidRPr="0085663C">
        <w:t>reviews are a design requirement for the new tools.</w:t>
      </w:r>
    </w:p>
    <w:p w14:paraId="67FE238A" w14:textId="629070B3" w:rsidR="00DC5E99" w:rsidRPr="00EA444B" w:rsidRDefault="00DC5E99" w:rsidP="00BE3952">
      <w:pPr>
        <w:pStyle w:val="Heading2"/>
      </w:pPr>
      <w:bookmarkStart w:id="279" w:name="_Toc535936173"/>
      <w:bookmarkStart w:id="280" w:name="_Toc337097"/>
      <w:bookmarkStart w:id="281" w:name="_Toc83886113"/>
      <w:r w:rsidRPr="00EA444B">
        <w:t>Scheduling</w:t>
      </w:r>
      <w:bookmarkEnd w:id="279"/>
      <w:bookmarkEnd w:id="280"/>
      <w:bookmarkEnd w:id="281"/>
    </w:p>
    <w:p w14:paraId="0D7C7B03" w14:textId="04B94ECB" w:rsidR="00EF4F80" w:rsidRDefault="00142BD4">
      <w:r w:rsidRPr="00EA444B">
        <w:t xml:space="preserve">GBT observing projects are scheduled via a </w:t>
      </w:r>
      <w:r w:rsidR="00705878" w:rsidRPr="00EA444B">
        <w:t xml:space="preserve">Dynamic Scheduling System (DSS). </w:t>
      </w:r>
      <w:r w:rsidR="00EF4F80" w:rsidRPr="00EA444B">
        <w:t>Telescope schedules are built daily for the time period 24</w:t>
      </w:r>
      <w:r w:rsidR="00C34F67">
        <w:t>–</w:t>
      </w:r>
      <w:r w:rsidR="00EF4F80" w:rsidRPr="00EA444B">
        <w:t xml:space="preserve">48 hours from the time of the schedule’s release. </w:t>
      </w:r>
    </w:p>
    <w:p w14:paraId="5D20E3DE" w14:textId="2396D8FE" w:rsidR="00B73D2F" w:rsidRPr="00EA444B" w:rsidRDefault="00705878">
      <w:r w:rsidRPr="00EA444B">
        <w:t>Science projects are loaded by the Head of Science Operations and then optimized in the DSS with input from the National Digitized Forecast Database operated by the National Oceanic and Atmospheric Observatory. The DSS automatically flags observations when the forecast falls below the minimums prescribed for the project and a substitution is made.</w:t>
      </w:r>
    </w:p>
    <w:p w14:paraId="7A0A468B" w14:textId="3F1CA302" w:rsidR="00705878" w:rsidRPr="00C34F67" w:rsidRDefault="00705878">
      <w:r w:rsidRPr="00C34F67">
        <w:t>The Head of Science Operations and the Head of Telescope Operations jointly determine each week which day(s) to devote to m</w:t>
      </w:r>
      <w:r w:rsidR="00BB7E86" w:rsidRPr="00C34F67">
        <w:t>aintenance, software deployment</w:t>
      </w:r>
      <w:r w:rsidR="00C34F67" w:rsidRPr="00C34F67">
        <w:t>,</w:t>
      </w:r>
      <w:r w:rsidRPr="00C34F67">
        <w:t xml:space="preserve"> and equipment characterization and testing. The day(s) are determined by the scope of tasks to be accomplished, the optimal weather for observations, priority of maintenance tasks, and the weather required to perform the maintenance and engineering </w:t>
      </w:r>
      <w:r w:rsidRPr="00417AB4">
        <w:rPr>
          <w:spacing w:val="-4"/>
        </w:rPr>
        <w:t>tasks. The Head of Telescope Operations then coordinates the tasks and schedule for the maintenance periods.</w:t>
      </w:r>
    </w:p>
    <w:p w14:paraId="2BF5BD20" w14:textId="2F7EAB45" w:rsidR="00EF1B53" w:rsidRPr="00EA444B" w:rsidRDefault="00EF1B53">
      <w:r>
        <w:t xml:space="preserve">A multi-year program </w:t>
      </w:r>
      <w:r w:rsidR="00DB26A1">
        <w:t xml:space="preserve">described in Section </w:t>
      </w:r>
      <w:r w:rsidR="00830F6D">
        <w:t>8.3.2</w:t>
      </w:r>
      <w:r w:rsidR="00DB26A1">
        <w:t xml:space="preserve"> </w:t>
      </w:r>
      <w:r>
        <w:t xml:space="preserve">to update the DSS to reflect evolving GBT operational modes and customers </w:t>
      </w:r>
      <w:r w:rsidR="00172B8F">
        <w:t>began in FY2021 and will continue over the next few years.</w:t>
      </w:r>
    </w:p>
    <w:p w14:paraId="32C1D202" w14:textId="77777777" w:rsidR="001B5093" w:rsidRPr="00EA444B" w:rsidRDefault="001B5093" w:rsidP="00BE3952">
      <w:pPr>
        <w:pStyle w:val="Heading2"/>
      </w:pPr>
      <w:bookmarkStart w:id="282" w:name="_Toc83886114"/>
      <w:bookmarkStart w:id="283" w:name="_Toc337099"/>
      <w:bookmarkStart w:id="284" w:name="_Toc535936176"/>
      <w:r w:rsidRPr="00EA444B">
        <w:lastRenderedPageBreak/>
        <w:t>Interaction with Other Observatories</w:t>
      </w:r>
      <w:bookmarkEnd w:id="282"/>
    </w:p>
    <w:p w14:paraId="50A27283" w14:textId="4612A838" w:rsidR="001B5093" w:rsidRDefault="001B5093">
      <w:r w:rsidRPr="00EA444B">
        <w:t xml:space="preserve">The </w:t>
      </w:r>
      <w:r w:rsidR="00830F6D">
        <w:t>GBO</w:t>
      </w:r>
      <w:r w:rsidR="00830F6D" w:rsidRPr="00EA444B">
        <w:t xml:space="preserve"> </w:t>
      </w:r>
      <w:r w:rsidRPr="00EA444B">
        <w:t xml:space="preserve">has arrangements with several other </w:t>
      </w:r>
      <w:r w:rsidR="00205F1E">
        <w:t>observatories</w:t>
      </w:r>
      <w:r w:rsidR="00205F1E" w:rsidRPr="00EA444B">
        <w:t xml:space="preserve"> </w:t>
      </w:r>
      <w:r w:rsidRPr="00EA444B">
        <w:t>for joint proposals involving the GBT. Joint proposals allow for a single review, avoiding double jeopardy, of a proposed project that requires data from more than one telescope. The proposal is submitted to and reviewed by the Time Allocation Committee of the primary telescope involved in the research. The secondary telescope performs a technical review of the proposal and agrees to abide by the results of the primary telescope’s Time Allocation Committee unless ex</w:t>
      </w:r>
      <w:r>
        <w:t xml:space="preserve">tenuating circumstances exist. </w:t>
      </w:r>
      <w:bookmarkStart w:id="285" w:name="_Hlk79755721"/>
      <w:r w:rsidRPr="00EA444B">
        <w:t>Memorandums of Understanding (MOU) or agreements exist for joint observations between the GBT and:</w:t>
      </w:r>
    </w:p>
    <w:p w14:paraId="030FF8FD" w14:textId="0B41B319" w:rsidR="001B5093" w:rsidRPr="00EA444B" w:rsidRDefault="001B5093">
      <w:pPr>
        <w:pStyle w:val="ListParagraph"/>
        <w:numPr>
          <w:ilvl w:val="0"/>
          <w:numId w:val="5"/>
        </w:numPr>
      </w:pPr>
      <w:r w:rsidRPr="00EA444B">
        <w:t>Jansky Very Large Array</w:t>
      </w:r>
      <w:r w:rsidR="00205F1E">
        <w:t xml:space="preserve"> (proposals reviewed as part of the NRAO/GBO TAC)</w:t>
      </w:r>
    </w:p>
    <w:p w14:paraId="16CFBCE2" w14:textId="75BEAED7" w:rsidR="001B5093" w:rsidRDefault="001B5093">
      <w:pPr>
        <w:pStyle w:val="ListParagraph"/>
        <w:numPr>
          <w:ilvl w:val="0"/>
          <w:numId w:val="5"/>
        </w:numPr>
      </w:pPr>
      <w:r w:rsidRPr="00EA444B">
        <w:t>Very Long Baseline Array (</w:t>
      </w:r>
      <w:r w:rsidR="00205F1E">
        <w:t>proposals reviewed as part of the NRAO/GBO TAC</w:t>
      </w:r>
      <w:r w:rsidRPr="00EA444B">
        <w:t>)</w:t>
      </w:r>
    </w:p>
    <w:p w14:paraId="3B8C97B5" w14:textId="4133DC21" w:rsidR="008D1D7A" w:rsidRDefault="008D1D7A" w:rsidP="008D1D7A">
      <w:pPr>
        <w:pStyle w:val="ListParagraph"/>
        <w:numPr>
          <w:ilvl w:val="0"/>
          <w:numId w:val="5"/>
        </w:numPr>
      </w:pPr>
      <w:r>
        <w:t>High Sensitivity Array (Proposals reviewed as part of the NRAO/GBO TAC)</w:t>
      </w:r>
    </w:p>
    <w:p w14:paraId="1BA4C2D6" w14:textId="635863B1" w:rsidR="008D1D7A" w:rsidRDefault="008D1D7A" w:rsidP="008D1D7A">
      <w:pPr>
        <w:pStyle w:val="ListParagraph"/>
        <w:numPr>
          <w:ilvl w:val="0"/>
          <w:numId w:val="5"/>
        </w:numPr>
      </w:pPr>
      <w:r>
        <w:t>Global VLBI Array (Proposals reviewed by European VLBI Network with input from NRAO/GBO reviewer)</w:t>
      </w:r>
    </w:p>
    <w:p w14:paraId="2F466578" w14:textId="37861E29" w:rsidR="008D1D7A" w:rsidRDefault="008D1D7A" w:rsidP="008D1D7A">
      <w:pPr>
        <w:pStyle w:val="ListParagraph"/>
        <w:numPr>
          <w:ilvl w:val="0"/>
          <w:numId w:val="5"/>
        </w:numPr>
      </w:pPr>
      <w:r>
        <w:t xml:space="preserve">Global </w:t>
      </w:r>
      <w:r w:rsidR="005B093F">
        <w:t>Millimeter</w:t>
      </w:r>
      <w:r>
        <w:t xml:space="preserve"> VLBI Array (Proposals reviewed by individual telescope</w:t>
      </w:r>
      <w:r w:rsidR="00712A0F">
        <w:t>)</w:t>
      </w:r>
    </w:p>
    <w:p w14:paraId="3A8DDBB5" w14:textId="008D7BDC" w:rsidR="001B5093" w:rsidRPr="00EA444B" w:rsidRDefault="001B5093" w:rsidP="008D1D7A">
      <w:pPr>
        <w:pStyle w:val="ListParagraph"/>
        <w:numPr>
          <w:ilvl w:val="0"/>
          <w:numId w:val="5"/>
        </w:numPr>
      </w:pPr>
      <w:r w:rsidRPr="00EA444B">
        <w:t>F</w:t>
      </w:r>
      <w:r w:rsidR="00712A0F">
        <w:t>ermi</w:t>
      </w:r>
      <w:r w:rsidRPr="00EA444B">
        <w:t xml:space="preserve"> Gamma-ray Space Telescope</w:t>
      </w:r>
    </w:p>
    <w:p w14:paraId="6F3282AC" w14:textId="77777777" w:rsidR="001B5093" w:rsidRPr="00EA444B" w:rsidRDefault="001B5093" w:rsidP="001812E3">
      <w:pPr>
        <w:pStyle w:val="ListParagraph"/>
        <w:numPr>
          <w:ilvl w:val="0"/>
          <w:numId w:val="5"/>
        </w:numPr>
      </w:pPr>
      <w:r w:rsidRPr="00EA444B">
        <w:t>Hubble Space Telescope</w:t>
      </w:r>
    </w:p>
    <w:p w14:paraId="7FCBEB1B" w14:textId="77777777" w:rsidR="001B5093" w:rsidRPr="00EA444B" w:rsidRDefault="001B5093">
      <w:pPr>
        <w:pStyle w:val="ListParagraph"/>
        <w:numPr>
          <w:ilvl w:val="0"/>
          <w:numId w:val="5"/>
        </w:numPr>
      </w:pPr>
      <w:r w:rsidRPr="00EA444B">
        <w:t>Chandra X-ray Space Telescope</w:t>
      </w:r>
    </w:p>
    <w:p w14:paraId="4D0756EE" w14:textId="77777777" w:rsidR="001B5093" w:rsidRPr="00EA444B" w:rsidRDefault="001B5093">
      <w:pPr>
        <w:pStyle w:val="ListParagraph"/>
        <w:numPr>
          <w:ilvl w:val="0"/>
          <w:numId w:val="5"/>
        </w:numPr>
      </w:pPr>
      <w:r w:rsidRPr="00EA444B">
        <w:t>XMM-Newton</w:t>
      </w:r>
    </w:p>
    <w:p w14:paraId="2D9EC67F" w14:textId="0F7D6573" w:rsidR="001B5093" w:rsidRDefault="001B5093">
      <w:pPr>
        <w:pStyle w:val="ListParagraph"/>
        <w:numPr>
          <w:ilvl w:val="0"/>
          <w:numId w:val="5"/>
        </w:numPr>
      </w:pPr>
      <w:r w:rsidRPr="00EA444B">
        <w:t>S</w:t>
      </w:r>
      <w:r w:rsidR="00712A0F">
        <w:t>wift</w:t>
      </w:r>
      <w:r w:rsidRPr="00EA444B">
        <w:t xml:space="preserve"> Gamma-ray Burst Mission</w:t>
      </w:r>
      <w:r w:rsidR="00205F1E">
        <w:t xml:space="preserve"> </w:t>
      </w:r>
    </w:p>
    <w:p w14:paraId="3F31CE67" w14:textId="606BCD63" w:rsidR="001B5093" w:rsidRPr="00EA444B" w:rsidRDefault="00712A0F">
      <w:pPr>
        <w:pStyle w:val="ListParagraph"/>
        <w:numPr>
          <w:ilvl w:val="0"/>
          <w:numId w:val="5"/>
        </w:numPr>
      </w:pPr>
      <w:r>
        <w:t>Stratospheric Observatory for Infrared Astronomy (</w:t>
      </w:r>
      <w:r w:rsidR="001B5093">
        <w:t>SOFIA</w:t>
      </w:r>
      <w:r>
        <w:t>)</w:t>
      </w:r>
    </w:p>
    <w:p w14:paraId="74C81E35" w14:textId="21210068" w:rsidR="001B5093" w:rsidRPr="00EA444B" w:rsidRDefault="001B5093">
      <w:r w:rsidRPr="00EA444B">
        <w:t xml:space="preserve">The </w:t>
      </w:r>
      <w:r w:rsidR="00572B04">
        <w:t>GBO</w:t>
      </w:r>
      <w:r w:rsidR="00572B04" w:rsidRPr="00EA444B">
        <w:t xml:space="preserve"> </w:t>
      </w:r>
      <w:r w:rsidRPr="00EA444B">
        <w:t>may sign future MOUs for joint proposals with other observatories, which have significant scientific overlap with the GBT.</w:t>
      </w:r>
    </w:p>
    <w:bookmarkEnd w:id="285"/>
    <w:p w14:paraId="3C3BBA76" w14:textId="77777777" w:rsidR="001B5093" w:rsidRPr="00EA444B" w:rsidRDefault="001B5093">
      <w:r w:rsidRPr="00EA444B">
        <w:t xml:space="preserve">The GBT also participates in VLBI observations as part of the High Sensitivity Array (HSA), the Global VLBI network, </w:t>
      </w:r>
      <w:r>
        <w:t xml:space="preserve">and </w:t>
      </w:r>
      <w:r w:rsidRPr="00EA444B">
        <w:t xml:space="preserve">the </w:t>
      </w:r>
      <w:r>
        <w:t>GMVA</w:t>
      </w:r>
      <w:r w:rsidRPr="00EA444B">
        <w:t>.</w:t>
      </w:r>
    </w:p>
    <w:p w14:paraId="5A6D0739" w14:textId="77777777" w:rsidR="001B5093" w:rsidRPr="00EA444B" w:rsidRDefault="001B5093">
      <w:r w:rsidRPr="00EA444B">
        <w:t>The GBT scheduler is responsible for scheduling the observations on the HSA working with the schedulers for the VLBA, VLA,</w:t>
      </w:r>
      <w:r>
        <w:t xml:space="preserve"> and </w:t>
      </w:r>
      <w:r w:rsidRPr="00EA444B">
        <w:t>Effelsberg. The GBT scheduler provides input on the availability of the GBT to the</w:t>
      </w:r>
      <w:r>
        <w:t xml:space="preserve"> schedulers of the Global VLBI and </w:t>
      </w:r>
      <w:r w:rsidRPr="00EA444B">
        <w:t>GMVA.</w:t>
      </w:r>
    </w:p>
    <w:p w14:paraId="23BB050D" w14:textId="77777777" w:rsidR="001B5093" w:rsidRPr="00EA444B" w:rsidRDefault="001B5093">
      <w:r w:rsidRPr="00EA444B">
        <w:t>The GBT scheduler also works with the schedulers of the observatories requested in joint observations, especially when simultaneous observations are requested.</w:t>
      </w:r>
    </w:p>
    <w:bookmarkEnd w:id="283"/>
    <w:bookmarkEnd w:id="284"/>
    <w:p w14:paraId="5AA79B91" w14:textId="2E4F648A" w:rsidR="00275FD7" w:rsidRPr="00EA444B" w:rsidRDefault="00275FD7">
      <w:pPr>
        <w:pStyle w:val="BodyText"/>
      </w:pPr>
      <w:r w:rsidRPr="00EA444B">
        <w:br w:type="page"/>
      </w:r>
    </w:p>
    <w:p w14:paraId="6BB976E7" w14:textId="4BE1A989" w:rsidR="00A03695" w:rsidRPr="00EA444B" w:rsidRDefault="00A03695" w:rsidP="00BE3952">
      <w:pPr>
        <w:pStyle w:val="Heading2"/>
      </w:pPr>
      <w:bookmarkStart w:id="286" w:name="_Toc2078295"/>
      <w:bookmarkStart w:id="287" w:name="_Toc2091410"/>
      <w:bookmarkStart w:id="288" w:name="_Toc2326132"/>
      <w:bookmarkStart w:id="289" w:name="_Toc1052132"/>
      <w:bookmarkStart w:id="290" w:name="_Toc1140154"/>
      <w:bookmarkStart w:id="291" w:name="_Toc1140155"/>
      <w:bookmarkStart w:id="292" w:name="_Toc535931436"/>
      <w:bookmarkStart w:id="293" w:name="_Toc535932657"/>
      <w:bookmarkStart w:id="294" w:name="_Toc535936093"/>
      <w:bookmarkStart w:id="295" w:name="_Toc535936259"/>
      <w:bookmarkStart w:id="296" w:name="_Toc535936188"/>
      <w:bookmarkStart w:id="297" w:name="_Toc535936522"/>
      <w:bookmarkStart w:id="298" w:name="_Toc536007083"/>
      <w:bookmarkStart w:id="299" w:name="_Toc536007473"/>
      <w:bookmarkStart w:id="300" w:name="_Toc536007863"/>
      <w:bookmarkStart w:id="301" w:name="_Toc1052137"/>
      <w:bookmarkStart w:id="302" w:name="_Toc1140160"/>
      <w:bookmarkStart w:id="303" w:name="_Toc631212"/>
      <w:bookmarkStart w:id="304" w:name="_Toc637011"/>
      <w:bookmarkStart w:id="305" w:name="_Toc637372"/>
      <w:bookmarkStart w:id="306" w:name="_Toc637734"/>
      <w:bookmarkStart w:id="307" w:name="_Toc631214"/>
      <w:bookmarkStart w:id="308" w:name="_Toc637013"/>
      <w:bookmarkStart w:id="309" w:name="_Toc637374"/>
      <w:bookmarkStart w:id="310" w:name="_Toc637934"/>
      <w:bookmarkStart w:id="311" w:name="_Toc638130"/>
      <w:bookmarkStart w:id="312" w:name="_Toc638693"/>
      <w:bookmarkStart w:id="313" w:name="_Toc639051"/>
      <w:bookmarkStart w:id="314" w:name="_Toc631215"/>
      <w:bookmarkStart w:id="315" w:name="_Toc637014"/>
      <w:bookmarkStart w:id="316" w:name="_Toc637375"/>
      <w:bookmarkStart w:id="317" w:name="_Toc631217"/>
      <w:bookmarkStart w:id="318" w:name="_Toc637016"/>
      <w:bookmarkStart w:id="319" w:name="_Toc637377"/>
      <w:bookmarkStart w:id="320" w:name="_Toc535936196"/>
      <w:bookmarkStart w:id="321" w:name="_Toc2078305"/>
      <w:bookmarkStart w:id="322" w:name="_Toc535931443"/>
      <w:bookmarkStart w:id="323" w:name="_Toc535932368"/>
      <w:bookmarkStart w:id="324" w:name="_Toc535932664"/>
      <w:bookmarkStart w:id="325" w:name="_Toc535936101"/>
      <w:bookmarkStart w:id="326" w:name="_Toc535936267"/>
      <w:bookmarkStart w:id="327" w:name="_Toc535936198"/>
      <w:bookmarkStart w:id="328" w:name="_Toc535936530"/>
      <w:bookmarkStart w:id="329" w:name="_Toc536007091"/>
      <w:bookmarkStart w:id="330" w:name="_Toc536007481"/>
      <w:bookmarkStart w:id="331" w:name="_Toc536007871"/>
      <w:bookmarkStart w:id="332" w:name="_Toc535936200"/>
      <w:bookmarkStart w:id="333" w:name="_Toc337136"/>
      <w:bookmarkStart w:id="334" w:name="_Toc83886131"/>
      <w:bookmarkStart w:id="335" w:name="_Toc502142851"/>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EA444B">
        <w:lastRenderedPageBreak/>
        <w:t>Organization</w:t>
      </w:r>
      <w:r w:rsidR="000C35FA" w:rsidRPr="00EA444B">
        <w:t>al</w:t>
      </w:r>
      <w:r w:rsidRPr="00EA444B">
        <w:t xml:space="preserve"> </w:t>
      </w:r>
      <w:r w:rsidR="00251103" w:rsidRPr="00EA444B">
        <w:t>S</w:t>
      </w:r>
      <w:r w:rsidRPr="00EA444B">
        <w:t>tructure</w:t>
      </w:r>
      <w:bookmarkEnd w:id="332"/>
      <w:bookmarkEnd w:id="333"/>
      <w:bookmarkEnd w:id="334"/>
      <w:r w:rsidRPr="00EA444B">
        <w:t xml:space="preserve"> </w:t>
      </w:r>
      <w:bookmarkEnd w:id="335"/>
    </w:p>
    <w:p w14:paraId="2D786318" w14:textId="6B5A6285" w:rsidR="00267657" w:rsidRDefault="008A7FB7">
      <w:pPr>
        <w:pStyle w:val="PlainText"/>
      </w:pPr>
      <w:r>
        <w:t>GBO</w:t>
      </w:r>
      <w:r w:rsidR="00C360A3" w:rsidRPr="00A12CFD">
        <w:t xml:space="preserve"> consists of all staff directly responsible for the operations of the Green Bank site and its facilities and instruments. The management structure is relatively flat, and all staff ultimately report to the AUI President, the AUI Vice President for Radio Astronomy</w:t>
      </w:r>
      <w:r w:rsidR="003A12D2" w:rsidRPr="00A12CFD">
        <w:t>,</w:t>
      </w:r>
      <w:r w:rsidR="00C360A3" w:rsidRPr="00A12CFD">
        <w:t xml:space="preserve"> and the </w:t>
      </w:r>
      <w:r w:rsidR="00456510">
        <w:t>GBO</w:t>
      </w:r>
      <w:r w:rsidR="00456510" w:rsidRPr="00A12CFD">
        <w:t xml:space="preserve"> </w:t>
      </w:r>
      <w:r w:rsidR="00C360A3" w:rsidRPr="00A12CFD">
        <w:t>Director.</w:t>
      </w:r>
    </w:p>
    <w:p w14:paraId="76EB5D98" w14:textId="77777777" w:rsidR="00F47EF1" w:rsidRPr="00A12CFD" w:rsidRDefault="00F47EF1">
      <w:pPr>
        <w:pStyle w:val="PlainText"/>
      </w:pPr>
    </w:p>
    <w:p w14:paraId="0400ECA0" w14:textId="7CAAA8FA" w:rsidR="00C360A3" w:rsidRPr="00EA444B" w:rsidRDefault="006E4C4C" w:rsidP="00BE3952">
      <w:pPr>
        <w:pStyle w:val="PlainText"/>
        <w:jc w:val="center"/>
      </w:pPr>
      <w:r>
        <w:rPr>
          <w:noProof/>
        </w:rPr>
        <w:drawing>
          <wp:inline distT="0" distB="0" distL="0" distR="0" wp14:anchorId="78DF791A" wp14:editId="11B87891">
            <wp:extent cx="5937250" cy="2940050"/>
            <wp:effectExtent l="0" t="0" r="6350" b="0"/>
            <wp:docPr id="1" name="Picture 1" descr="C:\MainFiles\ad\org_chart\Ju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inFiles\ad\org_chart\Jul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250" cy="2940050"/>
                    </a:xfrm>
                    <a:prstGeom prst="rect">
                      <a:avLst/>
                    </a:prstGeom>
                    <a:noFill/>
                    <a:ln>
                      <a:noFill/>
                    </a:ln>
                  </pic:spPr>
                </pic:pic>
              </a:graphicData>
            </a:graphic>
          </wp:inline>
        </w:drawing>
      </w:r>
    </w:p>
    <w:p w14:paraId="3122AAE3" w14:textId="4CE7BE74" w:rsidR="00406B99" w:rsidRPr="00BE3952" w:rsidRDefault="00406B99" w:rsidP="00BE3952">
      <w:pPr>
        <w:pStyle w:val="Figure"/>
        <w:jc w:val="center"/>
        <w:rPr>
          <w:i/>
        </w:rPr>
      </w:pPr>
      <w:r w:rsidRPr="00BE3952">
        <w:rPr>
          <w:i/>
        </w:rPr>
        <w:t xml:space="preserve">Figure </w:t>
      </w:r>
      <w:r w:rsidR="00A12CFD" w:rsidRPr="00BE3952">
        <w:rPr>
          <w:i/>
        </w:rPr>
        <w:t>6</w:t>
      </w:r>
      <w:r w:rsidR="00AA68EB" w:rsidRPr="00BE3952">
        <w:rPr>
          <w:i/>
        </w:rPr>
        <w:t>.1.</w:t>
      </w:r>
      <w:r w:rsidRPr="00BE3952">
        <w:rPr>
          <w:i/>
        </w:rPr>
        <w:t xml:space="preserve"> Green Bank Observatory </w:t>
      </w:r>
      <w:r w:rsidR="00077777" w:rsidRPr="00BE3952">
        <w:rPr>
          <w:i/>
        </w:rPr>
        <w:t>Management Structure</w:t>
      </w:r>
    </w:p>
    <w:p w14:paraId="753FC050" w14:textId="77777777" w:rsidR="00AA68EB" w:rsidRPr="00EA444B" w:rsidRDefault="00AA68EB">
      <w:pPr>
        <w:pStyle w:val="Figure"/>
      </w:pPr>
    </w:p>
    <w:p w14:paraId="14F81985" w14:textId="64F110EC" w:rsidR="00FC6D02" w:rsidRPr="00EA444B" w:rsidRDefault="00456510">
      <w:pPr>
        <w:pStyle w:val="PlainText"/>
      </w:pPr>
      <w:r>
        <w:t>GBO</w:t>
      </w:r>
      <w:r w:rsidR="00C360A3" w:rsidRPr="00EA444B">
        <w:t xml:space="preserve"> is broken into ten separate divisions:</w:t>
      </w:r>
    </w:p>
    <w:p w14:paraId="6C5EE099" w14:textId="77777777" w:rsidR="008B498F" w:rsidRPr="00EA444B" w:rsidRDefault="008B498F">
      <w:pPr>
        <w:pStyle w:val="PlainText"/>
        <w:numPr>
          <w:ilvl w:val="0"/>
          <w:numId w:val="4"/>
        </w:numPr>
        <w:rPr>
          <w:u w:val="single"/>
        </w:rPr>
      </w:pPr>
      <w:r w:rsidRPr="00EA444B">
        <w:rPr>
          <w:u w:val="single"/>
        </w:rPr>
        <w:t>Science</w:t>
      </w:r>
      <w:r w:rsidRPr="00EA444B">
        <w:t xml:space="preserve"> is responsible for all scientists and astronomers on staff.</w:t>
      </w:r>
    </w:p>
    <w:p w14:paraId="38EDC2E1" w14:textId="5F3BEC40" w:rsidR="008B498F" w:rsidRPr="00EA444B" w:rsidRDefault="00D85E0A">
      <w:pPr>
        <w:pStyle w:val="PlainText"/>
        <w:numPr>
          <w:ilvl w:val="0"/>
          <w:numId w:val="4"/>
        </w:numPr>
        <w:rPr>
          <w:u w:val="single"/>
        </w:rPr>
      </w:pPr>
      <w:r w:rsidRPr="00EA444B">
        <w:rPr>
          <w:u w:val="single"/>
        </w:rPr>
        <w:t>GBT</w:t>
      </w:r>
      <w:r w:rsidR="00C360A3" w:rsidRPr="00EA444B">
        <w:rPr>
          <w:u w:val="single"/>
        </w:rPr>
        <w:t xml:space="preserve"> Science Operations</w:t>
      </w:r>
      <w:r w:rsidR="00C360A3" w:rsidRPr="00EA444B">
        <w:t xml:space="preserve"> is responsible for maximizing the scientific output of the GBT through telescope time allocation, telescope scheduling, observer support, proposal handling, and prioritization and testing of all GBT issues affecting scientific operation. </w:t>
      </w:r>
    </w:p>
    <w:p w14:paraId="1DD5B711" w14:textId="511BCA49" w:rsidR="00077777" w:rsidRPr="00EA444B" w:rsidRDefault="00077777">
      <w:pPr>
        <w:pStyle w:val="PlainText"/>
        <w:numPr>
          <w:ilvl w:val="0"/>
          <w:numId w:val="4"/>
        </w:numPr>
        <w:rPr>
          <w:u w:val="single"/>
        </w:rPr>
      </w:pPr>
      <w:r w:rsidRPr="00EA444B">
        <w:rPr>
          <w:u w:val="single"/>
        </w:rPr>
        <w:t>Electronics</w:t>
      </w:r>
      <w:r w:rsidRPr="00EA444B">
        <w:t xml:space="preserve"> provides all microwave, digital and analog engineers and technicians for the site. The electronics division designs, builds, and maintains all telescope instrument electronics. </w:t>
      </w:r>
    </w:p>
    <w:p w14:paraId="7B1A4419" w14:textId="082115F8" w:rsidR="00AD223A" w:rsidRPr="00EA444B" w:rsidRDefault="00AD223A">
      <w:pPr>
        <w:pStyle w:val="PlainText"/>
        <w:numPr>
          <w:ilvl w:val="0"/>
          <w:numId w:val="4"/>
        </w:numPr>
        <w:rPr>
          <w:u w:val="single"/>
        </w:rPr>
      </w:pPr>
      <w:r w:rsidRPr="00EA444B">
        <w:rPr>
          <w:u w:val="single"/>
        </w:rPr>
        <w:t>Telescope Operations</w:t>
      </w:r>
      <w:r w:rsidRPr="00EA444B">
        <w:t xml:space="preserve"> is responsible for the </w:t>
      </w:r>
      <w:r w:rsidR="0078517D" w:rsidRPr="00EA444B">
        <w:t xml:space="preserve">mechanical </w:t>
      </w:r>
      <w:r w:rsidRPr="00EA444B">
        <w:t xml:space="preserve">maintenance, safety, and operation of all site telescopes. The Telescope operations division includes a telescope engineer, all telescope operators and technicians, and the seasonal painting staff. </w:t>
      </w:r>
    </w:p>
    <w:p w14:paraId="7D21E55A" w14:textId="098E3773" w:rsidR="00077777" w:rsidRPr="00EA444B" w:rsidRDefault="00077777">
      <w:pPr>
        <w:pStyle w:val="PlainText"/>
        <w:numPr>
          <w:ilvl w:val="0"/>
          <w:numId w:val="4"/>
        </w:numPr>
        <w:rPr>
          <w:u w:val="single"/>
        </w:rPr>
      </w:pPr>
      <w:r w:rsidRPr="00EA444B">
        <w:rPr>
          <w:u w:val="single"/>
        </w:rPr>
        <w:t>Mechanical</w:t>
      </w:r>
      <w:r w:rsidRPr="00EA444B">
        <w:t xml:space="preserve"> oversees the </w:t>
      </w:r>
      <w:r w:rsidR="00456510">
        <w:t>GBO</w:t>
      </w:r>
      <w:r w:rsidR="00456510" w:rsidRPr="00EA444B">
        <w:t xml:space="preserve"> </w:t>
      </w:r>
      <w:r w:rsidRPr="00EA444B">
        <w:t xml:space="preserve">machine shop as well as all mechanical development and drawings on site. The Machine Shop provides all machining for the site telescopes and operations and also performs significant contract work for other observatories and organizations.  </w:t>
      </w:r>
    </w:p>
    <w:p w14:paraId="6E110051" w14:textId="35F2D2BD" w:rsidR="00077777" w:rsidRPr="00EA444B" w:rsidRDefault="00077777">
      <w:pPr>
        <w:pStyle w:val="PlainText"/>
        <w:numPr>
          <w:ilvl w:val="0"/>
          <w:numId w:val="4"/>
        </w:numPr>
        <w:rPr>
          <w:u w:val="single"/>
        </w:rPr>
      </w:pPr>
      <w:r w:rsidRPr="00EA444B">
        <w:rPr>
          <w:u w:val="single"/>
        </w:rPr>
        <w:lastRenderedPageBreak/>
        <w:t>Education and Public Outreach</w:t>
      </w:r>
      <w:r w:rsidR="00BB7E86" w:rsidRPr="00EA444B">
        <w:t xml:space="preserve"> manages </w:t>
      </w:r>
      <w:r w:rsidRPr="00EA444B">
        <w:t>formal and informal educational programs on site, as well as the Science Center and all public tours and events.</w:t>
      </w:r>
      <w:r w:rsidR="00E95852">
        <w:t xml:space="preserve"> </w:t>
      </w:r>
      <w:r w:rsidR="00456510">
        <w:t>GBO’s</w:t>
      </w:r>
      <w:r w:rsidR="00E95852">
        <w:t xml:space="preserve"> public relations activities are included in the Outreach group.</w:t>
      </w:r>
    </w:p>
    <w:p w14:paraId="03E3D42B" w14:textId="12DE15C6" w:rsidR="00AD223A" w:rsidRPr="00A12CFD" w:rsidRDefault="00AD223A">
      <w:pPr>
        <w:pStyle w:val="PlainText"/>
        <w:numPr>
          <w:ilvl w:val="0"/>
          <w:numId w:val="3"/>
        </w:numPr>
      </w:pPr>
      <w:r w:rsidRPr="00A12CFD">
        <w:rPr>
          <w:u w:val="single"/>
        </w:rPr>
        <w:t xml:space="preserve">Software </w:t>
      </w:r>
      <w:r w:rsidR="00B83C32" w:rsidRPr="00A12CFD">
        <w:rPr>
          <w:u w:val="single"/>
        </w:rPr>
        <w:t>Development</w:t>
      </w:r>
      <w:r w:rsidR="00B83C32" w:rsidRPr="00A12CFD">
        <w:t xml:space="preserve"> </w:t>
      </w:r>
      <w:r w:rsidR="00BB7E86" w:rsidRPr="008A7FB7">
        <w:rPr>
          <w:spacing w:val="-2"/>
        </w:rPr>
        <w:t xml:space="preserve">is responsible for custom </w:t>
      </w:r>
      <w:r w:rsidRPr="008A7FB7">
        <w:rPr>
          <w:spacing w:val="-2"/>
        </w:rPr>
        <w:t xml:space="preserve">software on site, including telescope monitor and control, data reduction, and visitor services. The software division is not responsible for any software purchased and used solely through a licensing agreement (e.g. </w:t>
      </w:r>
      <w:proofErr w:type="spellStart"/>
      <w:r w:rsidRPr="008A7FB7">
        <w:rPr>
          <w:spacing w:val="-2"/>
        </w:rPr>
        <w:t>MatLab</w:t>
      </w:r>
      <w:r w:rsidR="000770F9" w:rsidRPr="008A7FB7">
        <w:rPr>
          <w:spacing w:val="-2"/>
          <w:vertAlign w:val="superscript"/>
        </w:rPr>
        <w:t>TM</w:t>
      </w:r>
      <w:proofErr w:type="spellEnd"/>
      <w:r w:rsidRPr="008A7FB7">
        <w:rPr>
          <w:spacing w:val="-2"/>
        </w:rPr>
        <w:t>, JD Edwards, etc.).</w:t>
      </w:r>
      <w:r w:rsidRPr="00A12CFD">
        <w:t xml:space="preserve">  </w:t>
      </w:r>
    </w:p>
    <w:p w14:paraId="7E35F512" w14:textId="7B7B0893" w:rsidR="00C360A3" w:rsidRPr="00A12CFD" w:rsidRDefault="00C360A3">
      <w:pPr>
        <w:pStyle w:val="PlainText"/>
        <w:numPr>
          <w:ilvl w:val="0"/>
          <w:numId w:val="3"/>
        </w:numPr>
      </w:pPr>
      <w:r w:rsidRPr="00A12CFD">
        <w:rPr>
          <w:u w:val="single"/>
        </w:rPr>
        <w:t>Program Management</w:t>
      </w:r>
      <w:r w:rsidR="00AB0108" w:rsidRPr="00A12CFD">
        <w:t xml:space="preserve"> manages projects and contracts on site, </w:t>
      </w:r>
      <w:r w:rsidR="00AD223A" w:rsidRPr="00A12CFD">
        <w:t xml:space="preserve">oversees </w:t>
      </w:r>
      <w:r w:rsidR="00AB0108" w:rsidRPr="00A12CFD">
        <w:t xml:space="preserve">resource planning for </w:t>
      </w:r>
      <w:r w:rsidR="00456510">
        <w:t xml:space="preserve">GBO’s portfolio of </w:t>
      </w:r>
      <w:r w:rsidR="00AB0108" w:rsidRPr="00A12CFD">
        <w:t>projects</w:t>
      </w:r>
      <w:r w:rsidR="00AD223A" w:rsidRPr="00A12CFD">
        <w:t xml:space="preserve"> and work for others</w:t>
      </w:r>
      <w:r w:rsidR="00AB0108" w:rsidRPr="00A12CFD">
        <w:t xml:space="preserve">, and </w:t>
      </w:r>
      <w:r w:rsidR="00AD223A" w:rsidRPr="00A12CFD">
        <w:t>facilitates Observatory-wide and project performance reporting</w:t>
      </w:r>
      <w:r w:rsidR="00AB0108" w:rsidRPr="00A12CFD">
        <w:t>.</w:t>
      </w:r>
    </w:p>
    <w:p w14:paraId="30C4BF6E" w14:textId="357866BD" w:rsidR="00737F51" w:rsidRDefault="00077777">
      <w:pPr>
        <w:pStyle w:val="PlainText"/>
        <w:numPr>
          <w:ilvl w:val="0"/>
          <w:numId w:val="3"/>
        </w:numPr>
      </w:pPr>
      <w:r w:rsidRPr="00EA444B">
        <w:rPr>
          <w:u w:val="single"/>
        </w:rPr>
        <w:t>Business</w:t>
      </w:r>
      <w:r w:rsidR="00B83C32" w:rsidRPr="00EA444B">
        <w:rPr>
          <w:u w:val="single"/>
        </w:rPr>
        <w:t xml:space="preserve"> Services</w:t>
      </w:r>
      <w:r w:rsidRPr="00EA444B">
        <w:t xml:space="preserve"> coordinates the various support services and personnel needed to ensure the site runs smoothly, and includes direct management of the site visi</w:t>
      </w:r>
      <w:r w:rsidR="004D7E7E">
        <w:t>tor services (housing and food)</w:t>
      </w:r>
      <w:r w:rsidRPr="00EA444B">
        <w:t>.</w:t>
      </w:r>
      <w:r w:rsidR="00737F51">
        <w:t xml:space="preserve">  Business also includes the budget division, which </w:t>
      </w:r>
      <w:r w:rsidR="00737F51" w:rsidRPr="00EA444B">
        <w:t xml:space="preserve">manages the planning and execution of </w:t>
      </w:r>
      <w:r w:rsidR="00456510">
        <w:t xml:space="preserve">GBO’s </w:t>
      </w:r>
      <w:r w:rsidR="00737F51" w:rsidRPr="00EA444B">
        <w:t>budget as well as invoicing, billing, reconciling, and warehouse functions.</w:t>
      </w:r>
      <w:r w:rsidR="00737F51" w:rsidRPr="00EA444B">
        <w:rPr>
          <w:u w:val="single"/>
        </w:rPr>
        <w:t xml:space="preserve"> </w:t>
      </w:r>
      <w:r w:rsidR="00737F51" w:rsidRPr="00EA444B">
        <w:t xml:space="preserve"> </w:t>
      </w:r>
    </w:p>
    <w:p w14:paraId="48080ECC" w14:textId="0627B00F" w:rsidR="004D7E7E" w:rsidRDefault="004D7E7E">
      <w:pPr>
        <w:pStyle w:val="PlainText"/>
        <w:numPr>
          <w:ilvl w:val="0"/>
          <w:numId w:val="3"/>
        </w:numPr>
      </w:pPr>
      <w:r>
        <w:rPr>
          <w:u w:val="single"/>
        </w:rPr>
        <w:t>Plant Maintenance</w:t>
      </w:r>
      <w:r>
        <w:t xml:space="preserve"> is responsible for all site infrastructure</w:t>
      </w:r>
      <w:r w:rsidR="008A7FB7">
        <w:t>—</w:t>
      </w:r>
      <w:r>
        <w:t>buildings, water, sewage, roads, HVAC, etc.</w:t>
      </w:r>
      <w:r w:rsidR="008A7FB7">
        <w:t>—</w:t>
      </w:r>
      <w:r>
        <w:t xml:space="preserve">including the maintenance, renewal, and </w:t>
      </w:r>
      <w:r w:rsidR="003D6403">
        <w:t>long-term</w:t>
      </w:r>
      <w:r>
        <w:t xml:space="preserve"> plans for the site.</w:t>
      </w:r>
    </w:p>
    <w:p w14:paraId="26E1737E" w14:textId="3B99D6DD" w:rsidR="00737F51" w:rsidRPr="00EA444B" w:rsidRDefault="00737F51">
      <w:pPr>
        <w:pStyle w:val="PlainText"/>
        <w:numPr>
          <w:ilvl w:val="0"/>
          <w:numId w:val="3"/>
        </w:numPr>
      </w:pPr>
      <w:r>
        <w:rPr>
          <w:u w:val="single"/>
        </w:rPr>
        <w:t>Public Relations</w:t>
      </w:r>
      <w:r>
        <w:t xml:space="preserve"> is responsible for the outward facing and internal communications, through social media, press releases, and regular internal and external newsletters. Public relations also </w:t>
      </w:r>
      <w:r w:rsidR="00456510">
        <w:t>handle</w:t>
      </w:r>
      <w:r>
        <w:t xml:space="preserve"> all booths at scientific meetings, the annual facilities report, and all media relations</w:t>
      </w:r>
      <w:r w:rsidR="009564A6">
        <w:t xml:space="preserve">, </w:t>
      </w:r>
      <w:r w:rsidR="009564A6" w:rsidRPr="009564A6">
        <w:t>and provides support for community projects and special events</w:t>
      </w:r>
      <w:r>
        <w:t>.</w:t>
      </w:r>
    </w:p>
    <w:p w14:paraId="28F73B7D" w14:textId="6B6B936A" w:rsidR="006C1248" w:rsidRPr="00737F51" w:rsidRDefault="00AD223A" w:rsidP="008A7FB7">
      <w:pPr>
        <w:pStyle w:val="PlainText"/>
        <w:spacing w:after="320" w:line="257" w:lineRule="auto"/>
      </w:pPr>
      <w:r w:rsidRPr="00737F51">
        <w:t>General Observatory</w:t>
      </w:r>
      <w:r w:rsidR="00C360A3" w:rsidRPr="00737F51">
        <w:t xml:space="preserve"> services</w:t>
      </w:r>
      <w:r w:rsidRPr="00737F51">
        <w:t xml:space="preserve">, including </w:t>
      </w:r>
      <w:r w:rsidR="005A6358" w:rsidRPr="00737F51">
        <w:t>Human Resources</w:t>
      </w:r>
      <w:r w:rsidR="00C360A3" w:rsidRPr="00737F51">
        <w:t xml:space="preserve">, </w:t>
      </w:r>
      <w:r w:rsidR="005A6358" w:rsidRPr="00737F51">
        <w:t>Contracts and P</w:t>
      </w:r>
      <w:r w:rsidR="00C360A3" w:rsidRPr="00737F51">
        <w:t xml:space="preserve">rocurement, </w:t>
      </w:r>
      <w:r w:rsidR="005A6358" w:rsidRPr="00737F51">
        <w:t>Computing Infrastructure</w:t>
      </w:r>
      <w:r w:rsidR="00C360A3" w:rsidRPr="00737F51">
        <w:t xml:space="preserve">, </w:t>
      </w:r>
      <w:r w:rsidR="005A6358" w:rsidRPr="00737F51">
        <w:t xml:space="preserve">Management Information Services </w:t>
      </w:r>
      <w:r w:rsidRPr="00737F51">
        <w:t>(MIS)</w:t>
      </w:r>
      <w:r w:rsidR="00C360A3" w:rsidRPr="00737F51">
        <w:t xml:space="preserve">, </w:t>
      </w:r>
      <w:r w:rsidR="005A6358" w:rsidRPr="00737F51">
        <w:t>and Environment</w:t>
      </w:r>
      <w:r w:rsidR="00C360A3" w:rsidRPr="00737F51">
        <w:t xml:space="preserve">, </w:t>
      </w:r>
      <w:r w:rsidR="005A6358" w:rsidRPr="00737F51">
        <w:t>Safety</w:t>
      </w:r>
      <w:r w:rsidR="00C360A3" w:rsidRPr="00737F51">
        <w:t xml:space="preserve">, and </w:t>
      </w:r>
      <w:r w:rsidR="005A6358" w:rsidRPr="00737F51">
        <w:t>Security (ESS)</w:t>
      </w:r>
      <w:r w:rsidR="00C360A3" w:rsidRPr="00737F51">
        <w:t xml:space="preserve"> are supplied via </w:t>
      </w:r>
      <w:r w:rsidR="00F86D3D" w:rsidRPr="00737F51">
        <w:t>S</w:t>
      </w:r>
      <w:r w:rsidR="0007579C" w:rsidRPr="00737F51">
        <w:t xml:space="preserve">ervice </w:t>
      </w:r>
      <w:r w:rsidR="00F86D3D" w:rsidRPr="00737F51">
        <w:t>L</w:t>
      </w:r>
      <w:r w:rsidR="0007579C" w:rsidRPr="00737F51">
        <w:t xml:space="preserve">evel </w:t>
      </w:r>
      <w:r w:rsidR="00F86D3D" w:rsidRPr="00737F51">
        <w:t>A</w:t>
      </w:r>
      <w:r w:rsidR="0007579C" w:rsidRPr="00737F51">
        <w:t>greement</w:t>
      </w:r>
      <w:r w:rsidR="00C360A3" w:rsidRPr="00737F51">
        <w:t>s</w:t>
      </w:r>
      <w:r w:rsidR="0007579C" w:rsidRPr="00737F51">
        <w:t xml:space="preserve"> (SLAs)</w:t>
      </w:r>
      <w:r w:rsidR="00C360A3" w:rsidRPr="00737F51">
        <w:t xml:space="preserve"> with NRAO as described in </w:t>
      </w:r>
      <w:r w:rsidR="00623A5C" w:rsidRPr="00737F51">
        <w:t xml:space="preserve">Section </w:t>
      </w:r>
      <w:r w:rsidR="000770F9" w:rsidRPr="00737F51">
        <w:t>6</w:t>
      </w:r>
      <w:r w:rsidR="00FC7B11" w:rsidRPr="00737F51">
        <w:t>.1</w:t>
      </w:r>
      <w:r w:rsidR="00456510">
        <w:t>4</w:t>
      </w:r>
      <w:r w:rsidR="00623A5C" w:rsidRPr="00737F51">
        <w:t xml:space="preserve"> </w:t>
      </w:r>
      <w:r w:rsidR="00C360A3" w:rsidRPr="00737F51">
        <w:t>and are provided through NRAO’s negotiated I</w:t>
      </w:r>
      <w:r w:rsidRPr="00737F51">
        <w:t xml:space="preserve">nternal </w:t>
      </w:r>
      <w:r w:rsidR="00C360A3" w:rsidRPr="00737F51">
        <w:t>C</w:t>
      </w:r>
      <w:r w:rsidRPr="00737F51">
        <w:t xml:space="preserve">ommon </w:t>
      </w:r>
      <w:r w:rsidR="00C360A3" w:rsidRPr="00737F51">
        <w:t>C</w:t>
      </w:r>
      <w:r w:rsidRPr="00737F51">
        <w:t>ost (ICC)</w:t>
      </w:r>
      <w:r w:rsidR="00EC50C7" w:rsidRPr="00737F51">
        <w:t xml:space="preserve"> rate</w:t>
      </w:r>
      <w:r w:rsidR="00C360A3" w:rsidRPr="00737F51">
        <w:t>. Additional services are provided through the AUI corporate offices in Washington, D.C.</w:t>
      </w:r>
      <w:r w:rsidRPr="00737F51">
        <w:t>,</w:t>
      </w:r>
      <w:r w:rsidR="00C360A3" w:rsidRPr="00737F51">
        <w:t xml:space="preserve"> and recovered via AUI’s negotiated indirect rate. </w:t>
      </w:r>
    </w:p>
    <w:p w14:paraId="11B1BAD4" w14:textId="0DEC8B64" w:rsidR="00A64A6B" w:rsidRPr="00EA444B" w:rsidRDefault="00A64A6B" w:rsidP="00BE3952">
      <w:pPr>
        <w:pStyle w:val="Heading2"/>
      </w:pPr>
      <w:bookmarkStart w:id="336" w:name="_Toc535936201"/>
      <w:bookmarkStart w:id="337" w:name="_Toc337137"/>
      <w:bookmarkStart w:id="338" w:name="_Toc83886132"/>
      <w:r w:rsidRPr="00EA444B">
        <w:t>Director’s Office</w:t>
      </w:r>
      <w:bookmarkEnd w:id="336"/>
      <w:bookmarkEnd w:id="337"/>
      <w:bookmarkEnd w:id="338"/>
    </w:p>
    <w:p w14:paraId="6E583DF3" w14:textId="5F4EE885" w:rsidR="00F92986" w:rsidRPr="00F92986" w:rsidRDefault="00F92986">
      <w:r w:rsidRPr="00F92986">
        <w:t xml:space="preserve">The </w:t>
      </w:r>
      <w:r w:rsidR="00456510">
        <w:t>GBO</w:t>
      </w:r>
      <w:r w:rsidR="00456510" w:rsidRPr="00F92986">
        <w:t xml:space="preserve"> </w:t>
      </w:r>
      <w:r w:rsidRPr="00F92986">
        <w:t xml:space="preserve">Director provides strategic leadership to the Observatory and manages the senior staff responsible for each </w:t>
      </w:r>
      <w:r w:rsidR="00456510">
        <w:t>GBO</w:t>
      </w:r>
      <w:r w:rsidR="00456510" w:rsidRPr="00F92986">
        <w:t xml:space="preserve"> </w:t>
      </w:r>
      <w:r w:rsidRPr="00F92986">
        <w:t xml:space="preserve">department. The Director and </w:t>
      </w:r>
      <w:r w:rsidR="00456510">
        <w:t>nine</w:t>
      </w:r>
      <w:r w:rsidRPr="00F92986">
        <w:t xml:space="preserve"> Division Heads lead and manage the Observatory’s core activities, including operations, maintenance, and science activities. Common service elements support inter-</w:t>
      </w:r>
      <w:r w:rsidR="008A7FB7">
        <w:t>O</w:t>
      </w:r>
      <w:r w:rsidRPr="00F92986">
        <w:t xml:space="preserve">bservatory-wide functions through SLAs between </w:t>
      </w:r>
      <w:r w:rsidR="00456510">
        <w:t>GBO</w:t>
      </w:r>
      <w:r w:rsidRPr="00F92986">
        <w:t xml:space="preserve"> and NRAO. The </w:t>
      </w:r>
      <w:r w:rsidR="00456510">
        <w:t>GBO</w:t>
      </w:r>
      <w:r w:rsidR="00456510" w:rsidRPr="00F92986">
        <w:t xml:space="preserve"> </w:t>
      </w:r>
      <w:r w:rsidRPr="00F92986">
        <w:t xml:space="preserve">Director’s Office coordinates </w:t>
      </w:r>
      <w:r w:rsidR="006F2DAF">
        <w:t>GBO</w:t>
      </w:r>
      <w:r w:rsidR="006F2DAF" w:rsidRPr="00F92986">
        <w:t xml:space="preserve"> </w:t>
      </w:r>
      <w:r w:rsidRPr="00F92986">
        <w:t>programs, setting strategic priorities, assigning risk reduction funding, and resolving resource conflicts. The</w:t>
      </w:r>
      <w:r w:rsidR="006F2DAF">
        <w:t xml:space="preserve"> GBO</w:t>
      </w:r>
      <w:r w:rsidRPr="00F92986">
        <w:t xml:space="preserve"> Director reports to the AUI Vice President for Radio Astronomy Operations. </w:t>
      </w:r>
    </w:p>
    <w:p w14:paraId="3E2C5934" w14:textId="3CC7DC68" w:rsidR="00F47EF1" w:rsidRPr="00737F51" w:rsidRDefault="00F92986">
      <w:pPr>
        <w:rPr>
          <w:rStyle w:val="ListLabel1"/>
          <w:sz w:val="22"/>
          <w:szCs w:val="22"/>
        </w:rPr>
      </w:pPr>
      <w:r w:rsidRPr="00F92986">
        <w:t>The Director’s office subm</w:t>
      </w:r>
      <w:r w:rsidR="00EA7669">
        <w:t>its to the NSF on an annual basi</w:t>
      </w:r>
      <w:r w:rsidRPr="00F92986">
        <w:t>s the GBO’s recommended budget which includes recommended indirect rates for the upcoming year based on the current year’s fiscal performance and recommended rates for standard contracts for outside users of GBT and other telescope time, as well as use of the GBO facility to host third party stand-alone scientific instruments. The largest single user of contracted GBT observing time is the Breakthrough Listen Initiative.</w:t>
      </w:r>
      <w:r w:rsidR="002D2A5F" w:rsidRPr="00EA444B">
        <w:t xml:space="preserve"> </w:t>
      </w:r>
    </w:p>
    <w:p w14:paraId="166319B0" w14:textId="2E8B31FE" w:rsidR="00BC2DEB" w:rsidRPr="00EA444B" w:rsidRDefault="00BC2DEB" w:rsidP="00BE3952">
      <w:pPr>
        <w:pStyle w:val="Heading3"/>
        <w:rPr>
          <w:rStyle w:val="ListLabel1"/>
          <w:rFonts w:asciiTheme="minorHAnsi" w:eastAsiaTheme="minorHAnsi" w:hAnsiTheme="minorHAnsi"/>
          <w:b w:val="0"/>
          <w:bCs w:val="0"/>
          <w:i/>
          <w:iCs w:val="0"/>
          <w:sz w:val="22"/>
          <w:szCs w:val="22"/>
        </w:rPr>
      </w:pPr>
      <w:bookmarkStart w:id="339" w:name="_Toc535936202"/>
      <w:bookmarkStart w:id="340" w:name="_Toc337138"/>
      <w:r w:rsidRPr="00EA444B">
        <w:rPr>
          <w:rStyle w:val="ListLabel1"/>
          <w:sz w:val="22"/>
          <w:szCs w:val="22"/>
        </w:rPr>
        <w:lastRenderedPageBreak/>
        <w:t>A</w:t>
      </w:r>
      <w:r w:rsidR="0064725E" w:rsidRPr="00EA444B">
        <w:rPr>
          <w:rStyle w:val="ListLabel1"/>
          <w:sz w:val="22"/>
          <w:szCs w:val="22"/>
        </w:rPr>
        <w:t>dvisory C</w:t>
      </w:r>
      <w:r w:rsidR="00605A0D" w:rsidRPr="00EA444B">
        <w:rPr>
          <w:rStyle w:val="ListLabel1"/>
          <w:sz w:val="22"/>
          <w:szCs w:val="22"/>
        </w:rPr>
        <w:t>ouncil</w:t>
      </w:r>
      <w:bookmarkEnd w:id="339"/>
      <w:bookmarkEnd w:id="340"/>
    </w:p>
    <w:p w14:paraId="7349FF70" w14:textId="3859E76B" w:rsidR="00605A0D" w:rsidRPr="00EA444B" w:rsidRDefault="00204D13">
      <w:pPr>
        <w:pStyle w:val="NormalWeb"/>
      </w:pPr>
      <w:r w:rsidRPr="00EA444B">
        <w:t xml:space="preserve">The Green Bank Observatory Advisory Council was established in October 2016 upon the separation of Green Bank from the NRAO. </w:t>
      </w:r>
      <w:r w:rsidR="00605A0D" w:rsidRPr="00EA444B">
        <w:t xml:space="preserve">The primary responsibility of the </w:t>
      </w:r>
      <w:r w:rsidR="00406B99" w:rsidRPr="00EA444B">
        <w:t>Green Bank</w:t>
      </w:r>
      <w:r w:rsidR="000469FB" w:rsidRPr="00EA444B">
        <w:t xml:space="preserve"> </w:t>
      </w:r>
      <w:r w:rsidR="00605A0D" w:rsidRPr="00EA444B">
        <w:t xml:space="preserve">Advisory Council </w:t>
      </w:r>
      <w:r w:rsidRPr="00EA444B">
        <w:t>is</w:t>
      </w:r>
      <w:r w:rsidR="00605A0D" w:rsidRPr="00EA444B">
        <w:t xml:space="preserve"> strategic planning for </w:t>
      </w:r>
      <w:r w:rsidR="006F2DAF">
        <w:t>GBO</w:t>
      </w:r>
      <w:r w:rsidR="00605A0D" w:rsidRPr="00EA444B">
        <w:t>, focusing on long</w:t>
      </w:r>
      <w:r w:rsidR="00406B99" w:rsidRPr="00EA444B">
        <w:t>-</w:t>
      </w:r>
      <w:r w:rsidR="00605A0D" w:rsidRPr="00EA444B">
        <w:t xml:space="preserve">term instrument development plans, site development, and establishing/maintaining partnerships. Specifically, the Council </w:t>
      </w:r>
      <w:r w:rsidRPr="00EA444B">
        <w:t>is</w:t>
      </w:r>
      <w:r w:rsidR="00605A0D" w:rsidRPr="00EA444B">
        <w:t xml:space="preserve"> responsible for providing advice regarding:</w:t>
      </w:r>
    </w:p>
    <w:p w14:paraId="670BD167" w14:textId="77777777" w:rsidR="00406B99" w:rsidRPr="00F47EF1" w:rsidRDefault="00406B99">
      <w:pPr>
        <w:pStyle w:val="NormalWeb"/>
      </w:pPr>
    </w:p>
    <w:p w14:paraId="78D970E8" w14:textId="4048CAA1" w:rsidR="00605A0D" w:rsidRPr="00EA444B" w:rsidRDefault="00A12CFD">
      <w:pPr>
        <w:pStyle w:val="NormalWeb"/>
        <w:numPr>
          <w:ilvl w:val="0"/>
          <w:numId w:val="2"/>
        </w:numPr>
      </w:pPr>
      <w:r>
        <w:t>L</w:t>
      </w:r>
      <w:r w:rsidR="00605A0D" w:rsidRPr="00EA444B">
        <w:t>ong term operational planning for the O</w:t>
      </w:r>
      <w:r w:rsidR="000469FB" w:rsidRPr="00EA444B">
        <w:t>bservatory</w:t>
      </w:r>
      <w:r w:rsidR="00605A0D" w:rsidRPr="00EA444B">
        <w:t xml:space="preserve"> (2, 5, 10</w:t>
      </w:r>
      <w:r w:rsidR="004E268A">
        <w:t>-</w:t>
      </w:r>
      <w:r w:rsidR="00605A0D" w:rsidRPr="00EA444B">
        <w:t>year plans)</w:t>
      </w:r>
    </w:p>
    <w:p w14:paraId="48CD72FC" w14:textId="36E0F6EB" w:rsidR="00605A0D" w:rsidRPr="00EA444B" w:rsidRDefault="00A12CFD">
      <w:pPr>
        <w:pStyle w:val="NormalWeb"/>
        <w:numPr>
          <w:ilvl w:val="0"/>
          <w:numId w:val="2"/>
        </w:numPr>
      </w:pPr>
      <w:r>
        <w:t>I</w:t>
      </w:r>
      <w:r w:rsidR="00605A0D" w:rsidRPr="00EA444B">
        <w:t>dentification of</w:t>
      </w:r>
      <w:r w:rsidR="00BB7E86" w:rsidRPr="00EA444B">
        <w:t>,</w:t>
      </w:r>
      <w:r w:rsidR="00605A0D" w:rsidRPr="00EA444B">
        <w:t xml:space="preserve"> and assistance in</w:t>
      </w:r>
      <w:r w:rsidR="00BB7E86" w:rsidRPr="00EA444B">
        <w:t>,</w:t>
      </w:r>
      <w:r w:rsidR="00605A0D" w:rsidRPr="00EA444B">
        <w:t xml:space="preserve"> seeking funding opportunities for the site and instruments</w:t>
      </w:r>
    </w:p>
    <w:p w14:paraId="0CC10D62" w14:textId="43926A90" w:rsidR="00605A0D" w:rsidRPr="00EA444B" w:rsidRDefault="00A12CFD">
      <w:pPr>
        <w:pStyle w:val="NormalWeb"/>
        <w:numPr>
          <w:ilvl w:val="0"/>
          <w:numId w:val="2"/>
        </w:numPr>
      </w:pPr>
      <w:r>
        <w:t>L</w:t>
      </w:r>
      <w:r w:rsidR="00605A0D" w:rsidRPr="00EA444B">
        <w:t>ong term budget planning for the facility (2, 5, 10</w:t>
      </w:r>
      <w:r w:rsidR="004E268A">
        <w:t>-</w:t>
      </w:r>
      <w:r w:rsidR="00605A0D" w:rsidRPr="00EA444B">
        <w:t>year plans)</w:t>
      </w:r>
    </w:p>
    <w:p w14:paraId="43B587DC" w14:textId="77777777" w:rsidR="00605A0D" w:rsidRPr="00EA444B" w:rsidRDefault="00605A0D">
      <w:pPr>
        <w:pStyle w:val="NormalWeb"/>
      </w:pPr>
    </w:p>
    <w:p w14:paraId="0F934EA3" w14:textId="316874EE" w:rsidR="00605A0D" w:rsidRDefault="00605A0D">
      <w:pPr>
        <w:pStyle w:val="NormalWeb"/>
      </w:pPr>
      <w:r w:rsidRPr="00EA444B">
        <w:t xml:space="preserve">The Advisory Council </w:t>
      </w:r>
      <w:r w:rsidR="00F15E56" w:rsidRPr="00EA444B">
        <w:t>is</w:t>
      </w:r>
      <w:r w:rsidRPr="00EA444B">
        <w:t xml:space="preserve"> not responsible for overseeing the operational functions of </w:t>
      </w:r>
      <w:r w:rsidR="006F2DAF">
        <w:t>GBO</w:t>
      </w:r>
      <w:r w:rsidRPr="00EA444B">
        <w:t>.</w:t>
      </w:r>
      <w:r w:rsidR="00F15E56" w:rsidRPr="00EA444B">
        <w:t xml:space="preserve"> </w:t>
      </w:r>
    </w:p>
    <w:p w14:paraId="6D7621DD" w14:textId="457E1348" w:rsidR="00F92986" w:rsidRPr="004D7E7E" w:rsidRDefault="00F92986" w:rsidP="00BE3952">
      <w:pPr>
        <w:pStyle w:val="Heading3"/>
        <w:rPr>
          <w:rStyle w:val="ListLabel1"/>
          <w:rFonts w:asciiTheme="minorHAnsi" w:eastAsiaTheme="minorHAnsi" w:hAnsiTheme="minorHAnsi"/>
          <w:b w:val="0"/>
          <w:bCs w:val="0"/>
          <w:iCs w:val="0"/>
          <w:sz w:val="22"/>
          <w:szCs w:val="22"/>
        </w:rPr>
      </w:pPr>
      <w:r w:rsidRPr="004D7E7E">
        <w:rPr>
          <w:rStyle w:val="ListLabel1"/>
          <w:sz w:val="22"/>
          <w:szCs w:val="22"/>
        </w:rPr>
        <w:t>AUI/GBO Visiting Committee</w:t>
      </w:r>
    </w:p>
    <w:p w14:paraId="062CFFDF" w14:textId="47100880" w:rsidR="00F92986" w:rsidRDefault="00F92986">
      <w:pPr>
        <w:pStyle w:val="NormalWeb"/>
        <w:rPr>
          <w:spacing w:val="-2"/>
        </w:rPr>
      </w:pPr>
      <w:r w:rsidRPr="00F92986">
        <w:t xml:space="preserve">AUI charges an independent Observatory Visiting Committee, comprised of leading scientists with expertise in facility management, to assess </w:t>
      </w:r>
      <w:r w:rsidR="00F94E12">
        <w:t>GBO</w:t>
      </w:r>
      <w:r w:rsidRPr="00F92986">
        <w:t xml:space="preserve">’s science productivity, community service, EPO, management operations, and the general health of </w:t>
      </w:r>
      <w:r w:rsidR="00F94E12">
        <w:t>GBO</w:t>
      </w:r>
      <w:r w:rsidRPr="00F92986">
        <w:t xml:space="preserve">. The Visiting Committee will conduct a site visit and hold a plenary meeting every two years, meeting via teleconference in intervening </w:t>
      </w:r>
      <w:r w:rsidRPr="00A12CFD">
        <w:rPr>
          <w:spacing w:val="-2"/>
        </w:rPr>
        <w:t xml:space="preserve">years. The committee submits a written report annually, and the Chair will meet with the AUI Board during the plenary year. The reports, along with responses of the </w:t>
      </w:r>
      <w:r w:rsidR="00F94E12">
        <w:rPr>
          <w:spacing w:val="-2"/>
        </w:rPr>
        <w:t>GBO</w:t>
      </w:r>
      <w:r w:rsidR="00F94E12" w:rsidRPr="00A12CFD">
        <w:rPr>
          <w:spacing w:val="-2"/>
        </w:rPr>
        <w:t xml:space="preserve"> </w:t>
      </w:r>
      <w:r w:rsidRPr="00A12CFD">
        <w:rPr>
          <w:spacing w:val="-2"/>
        </w:rPr>
        <w:t xml:space="preserve">Director, are forwarded to a Green Bank Advisory Council (described in Section </w:t>
      </w:r>
      <w:r w:rsidR="000770F9" w:rsidRPr="00A12CFD">
        <w:rPr>
          <w:spacing w:val="-2"/>
        </w:rPr>
        <w:t>6</w:t>
      </w:r>
      <w:r w:rsidRPr="00A12CFD">
        <w:rPr>
          <w:spacing w:val="-2"/>
        </w:rPr>
        <w:t>.2.1), the NSF, as well as the AUI Board of Trustees.</w:t>
      </w:r>
    </w:p>
    <w:p w14:paraId="30792476" w14:textId="2C53A24A" w:rsidR="00737F51" w:rsidRPr="004D7E7E" w:rsidRDefault="00737F51" w:rsidP="00BE3952">
      <w:pPr>
        <w:pStyle w:val="Heading3"/>
        <w:rPr>
          <w:rStyle w:val="ListLabel1"/>
          <w:rFonts w:asciiTheme="minorHAnsi" w:eastAsiaTheme="minorHAnsi" w:hAnsiTheme="minorHAnsi"/>
          <w:b w:val="0"/>
          <w:bCs w:val="0"/>
          <w:iCs w:val="0"/>
          <w:sz w:val="22"/>
          <w:szCs w:val="22"/>
        </w:rPr>
      </w:pPr>
      <w:r w:rsidRPr="004D7E7E">
        <w:rPr>
          <w:rStyle w:val="ListLabel1"/>
          <w:sz w:val="22"/>
          <w:szCs w:val="22"/>
        </w:rPr>
        <w:t>NRAO/GBO User’s Committee</w:t>
      </w:r>
    </w:p>
    <w:p w14:paraId="57780CDD" w14:textId="2A7619B4" w:rsidR="004431FB" w:rsidRPr="004431FB" w:rsidRDefault="004431FB">
      <w:r>
        <w:t xml:space="preserve">NRAO and GBO have a joint </w:t>
      </w:r>
      <w:r w:rsidR="00525F8D">
        <w:t>U</w:t>
      </w:r>
      <w:r>
        <w:t xml:space="preserve">sers </w:t>
      </w:r>
      <w:r w:rsidR="00525F8D">
        <w:t>C</w:t>
      </w:r>
      <w:r>
        <w:t>ommittee which p</w:t>
      </w:r>
      <w:r w:rsidRPr="004431FB">
        <w:t>rovide</w:t>
      </w:r>
      <w:r>
        <w:t>s</w:t>
      </w:r>
      <w:r w:rsidRPr="004431FB">
        <w:t xml:space="preserve"> advice on scientific, technical, operational, and development issues relating to the NSF-funded Open Skies community’s current and future use of Green Bank Telescope. </w:t>
      </w:r>
      <w:r>
        <w:t>The committee also m</w:t>
      </w:r>
      <w:r w:rsidRPr="004431FB">
        <w:t>ake</w:t>
      </w:r>
      <w:r>
        <w:t>s</w:t>
      </w:r>
      <w:r w:rsidRPr="004431FB">
        <w:t xml:space="preserve"> recommendations to maximize the GBT’s NSF-funded </w:t>
      </w:r>
      <w:r w:rsidR="006E4C4C">
        <w:t>O</w:t>
      </w:r>
      <w:r w:rsidRPr="004431FB">
        <w:t>pen Skies scientific productivity and improve its effectiveness for their user communities.</w:t>
      </w:r>
    </w:p>
    <w:p w14:paraId="2E6CDD4E" w14:textId="786EF3F4" w:rsidR="00A64A6B" w:rsidRPr="00EA444B" w:rsidRDefault="001A7B87" w:rsidP="00BE3952">
      <w:pPr>
        <w:pStyle w:val="Heading2"/>
      </w:pPr>
      <w:bookmarkStart w:id="341" w:name="_Toc337141"/>
      <w:bookmarkStart w:id="342" w:name="_Toc83886134"/>
      <w:bookmarkStart w:id="343" w:name="_Toc535936203"/>
      <w:r w:rsidRPr="00EA444B">
        <w:t xml:space="preserve">Science </w:t>
      </w:r>
      <w:r w:rsidR="00A64A6B" w:rsidRPr="00EA444B">
        <w:t>Operations</w:t>
      </w:r>
      <w:bookmarkEnd w:id="341"/>
      <w:bookmarkEnd w:id="342"/>
      <w:r w:rsidR="00A64A6B" w:rsidRPr="00EA444B">
        <w:t xml:space="preserve"> </w:t>
      </w:r>
      <w:bookmarkEnd w:id="343"/>
    </w:p>
    <w:p w14:paraId="7450A7C0" w14:textId="2D5F9252" w:rsidR="00511338" w:rsidRDefault="00511338">
      <w:r w:rsidRPr="00511338">
        <w:t xml:space="preserve">The GBT Science Operations division is responsible for maximizing the scientific output of the GBT. The division’s duties include, but are not limited to: all aspects of GBT proposal handling, telescope scheduling, observer training and support, instrument and software testing and commissioning, and scientific prioritization of maintenance, repair, and improvements. The division is also responsible for recommending long-term strategies to the Director’s Office to ensure the GBT remains scientifically productive well into the future. </w:t>
      </w:r>
      <w:r w:rsidR="00F94E12">
        <w:t>T</w:t>
      </w:r>
      <w:r w:rsidRPr="00511338">
        <w:t>he majority of the Green Bank scientific staff have significant time matrixed to this division.</w:t>
      </w:r>
    </w:p>
    <w:p w14:paraId="1D05D8F7" w14:textId="77777777" w:rsidR="00F52BDA" w:rsidRPr="00EA444B" w:rsidRDefault="00F52BDA" w:rsidP="00F52BDA">
      <w:r>
        <w:t>GBO</w:t>
      </w:r>
      <w:r w:rsidRPr="00EA444B">
        <w:t xml:space="preserve"> scientific staff serve as the interface between the scientific user community and the Observatory, providing access to </w:t>
      </w:r>
      <w:r>
        <w:t>GBO</w:t>
      </w:r>
      <w:r w:rsidRPr="00EA444B">
        <w:t xml:space="preserve"> facilities, observer support, and an interface to the </w:t>
      </w:r>
      <w:r>
        <w:t>GBO</w:t>
      </w:r>
      <w:r w:rsidRPr="00EA444B">
        <w:t xml:space="preserve">’s long-term planning process. Working under the GBT Science Operations division, </w:t>
      </w:r>
      <w:r>
        <w:t>GBO</w:t>
      </w:r>
      <w:r w:rsidRPr="00EA444B">
        <w:t xml:space="preserve"> scientists ensure the scientific outputs of all site telescopes are maximized, and they support </w:t>
      </w:r>
      <w:r>
        <w:t>GBO</w:t>
      </w:r>
      <w:r w:rsidRPr="00EA444B">
        <w:t>’s EPO division by providing lectures, mentorships, and workshops for students, the public, and the scientific community.</w:t>
      </w:r>
    </w:p>
    <w:p w14:paraId="04614FE1" w14:textId="77777777" w:rsidR="00F52BDA" w:rsidRDefault="00F52BDA" w:rsidP="00F52BDA">
      <w:r w:rsidRPr="00EA444B">
        <w:t xml:space="preserve">A highly matrix-managed division, the staff scientists provide much of the support for the GBT Science Operations division, scientific leadership and input into the </w:t>
      </w:r>
      <w:r>
        <w:t xml:space="preserve">GBO </w:t>
      </w:r>
      <w:r w:rsidRPr="00EA444B">
        <w:t xml:space="preserve">Director, and scientific guidance and </w:t>
      </w:r>
      <w:r w:rsidRPr="00EA444B">
        <w:lastRenderedPageBreak/>
        <w:t xml:space="preserve">testing for the Program Management group and other site divisions. </w:t>
      </w:r>
      <w:r>
        <w:t>GBO</w:t>
      </w:r>
      <w:r w:rsidRPr="00EA444B">
        <w:t xml:space="preserve"> scientists enable the publication of GBT scientific results. All staff members in this division report to the </w:t>
      </w:r>
      <w:r>
        <w:t>GBO</w:t>
      </w:r>
      <w:r w:rsidRPr="00EA444B">
        <w:t xml:space="preserve"> Director.</w:t>
      </w:r>
    </w:p>
    <w:p w14:paraId="177416D2" w14:textId="77777777" w:rsidR="00F52BDA" w:rsidRPr="00EA444B" w:rsidRDefault="00F52BDA" w:rsidP="00F52BDA">
      <w:r w:rsidRPr="00EA444B">
        <w:t>Specifically, the scientific staff provide</w:t>
      </w:r>
      <w:r>
        <w:t>:</w:t>
      </w:r>
    </w:p>
    <w:p w14:paraId="5B9C280A" w14:textId="77777777" w:rsidR="00F52BDA" w:rsidRPr="00A1039D" w:rsidRDefault="00F52BDA" w:rsidP="00F52BDA">
      <w:pPr>
        <w:pStyle w:val="ListParagraph"/>
        <w:numPr>
          <w:ilvl w:val="0"/>
          <w:numId w:val="6"/>
        </w:numPr>
        <w:rPr>
          <w:spacing w:val="2"/>
        </w:rPr>
      </w:pPr>
      <w:r w:rsidRPr="00A1039D">
        <w:rPr>
          <w:spacing w:val="2"/>
        </w:rPr>
        <w:t>Community information and engagement: Through deep involvement with the scientific research community, scientific staff are a two-way conduit of information on the state and plans of all site instruments;</w:t>
      </w:r>
    </w:p>
    <w:p w14:paraId="10B8F8DA" w14:textId="77777777" w:rsidR="00F52BDA" w:rsidRPr="00EA444B" w:rsidRDefault="00F52BDA" w:rsidP="00F52BDA">
      <w:pPr>
        <w:pStyle w:val="ListParagraph"/>
        <w:numPr>
          <w:ilvl w:val="0"/>
          <w:numId w:val="6"/>
        </w:numPr>
      </w:pPr>
      <w:r w:rsidRPr="00EA444B">
        <w:t>Proposal support: Technical reviews for submitted proposals, helpdesk support for any proposal questions, and preliminary (post-SRP, pre-TAC) grading of the proposals;</w:t>
      </w:r>
    </w:p>
    <w:p w14:paraId="232F8848" w14:textId="77777777" w:rsidR="00F52BDA" w:rsidRPr="00EA444B" w:rsidRDefault="00F52BDA" w:rsidP="00F52BDA">
      <w:pPr>
        <w:pStyle w:val="ListParagraph"/>
        <w:numPr>
          <w:ilvl w:val="0"/>
          <w:numId w:val="6"/>
        </w:numPr>
      </w:pPr>
      <w:r w:rsidRPr="00EA444B">
        <w:t>Observer support: On-call support for GBT observations, helpdesk support for any observing questions, act as ‘friends’ to GBT proposals, providing pre-observation support, training, and data reduction help for GBT;</w:t>
      </w:r>
    </w:p>
    <w:p w14:paraId="718BF7C3" w14:textId="77777777" w:rsidR="00F52BDA" w:rsidRPr="00EA444B" w:rsidRDefault="00F52BDA" w:rsidP="00F52BDA">
      <w:pPr>
        <w:pStyle w:val="ListParagraph"/>
        <w:numPr>
          <w:ilvl w:val="0"/>
          <w:numId w:val="6"/>
        </w:numPr>
      </w:pPr>
      <w:r w:rsidRPr="00EA444B">
        <w:t>Documentation: Maintain all instrument documentation, aid in the proposal calls, maintain the Observer’s and Proposer’s guides</w:t>
      </w:r>
      <w:r w:rsidRPr="00511338">
        <w:t>, expand and maintain the GBT Memo series, and monitor publications for GBT results for wider dissemination</w:t>
      </w:r>
      <w:r>
        <w:t>;</w:t>
      </w:r>
    </w:p>
    <w:p w14:paraId="21ACEA3B" w14:textId="77777777" w:rsidR="00F52BDA" w:rsidRPr="00EA444B" w:rsidRDefault="00F52BDA" w:rsidP="00F52BDA">
      <w:pPr>
        <w:pStyle w:val="ListParagraph"/>
        <w:numPr>
          <w:ilvl w:val="0"/>
          <w:numId w:val="6"/>
        </w:numPr>
      </w:pPr>
      <w:r w:rsidRPr="00EA444B">
        <w:t>Track and measure telescope performance: Gain curves, performance monitoring, pointing, surface and tracking models;</w:t>
      </w:r>
    </w:p>
    <w:p w14:paraId="01A28C9D" w14:textId="77777777" w:rsidR="00F52BDA" w:rsidRPr="00EA444B" w:rsidRDefault="00F52BDA" w:rsidP="00F52BDA">
      <w:pPr>
        <w:pStyle w:val="ListParagraph"/>
        <w:numPr>
          <w:ilvl w:val="0"/>
          <w:numId w:val="6"/>
        </w:numPr>
      </w:pPr>
      <w:r w:rsidRPr="00EA444B">
        <w:t>System health and maintenance feedback: Run routine health checks to identify hardware; failures; confirm fixes; characterize and monitor the effects of RFI on astronomical data;</w:t>
      </w:r>
    </w:p>
    <w:p w14:paraId="53F918D5" w14:textId="77777777" w:rsidR="00F52BDA" w:rsidRPr="00EA444B" w:rsidRDefault="00F52BDA" w:rsidP="00F52BDA">
      <w:pPr>
        <w:pStyle w:val="ListParagraph"/>
        <w:numPr>
          <w:ilvl w:val="0"/>
          <w:numId w:val="6"/>
        </w:numPr>
      </w:pPr>
      <w:r w:rsidRPr="00EA444B">
        <w:t>Training and mentoring: Mentor summer research students, students visiting as part of varied education programs, post-docs; organize and run two to three observer training workshops annually; organize and run one single dish training school annually; organize one to three community workshops focusing on GBT science;</w:t>
      </w:r>
      <w:r w:rsidRPr="00511338">
        <w:t xml:space="preserve"> ongoing recruitment, training, and support of </w:t>
      </w:r>
      <w:r>
        <w:t>two to three</w:t>
      </w:r>
      <w:r w:rsidRPr="00511338">
        <w:t xml:space="preserve"> postdocs,</w:t>
      </w:r>
      <w:r w:rsidRPr="00EA444B">
        <w:t xml:space="preserve"> participate in all other onsite training workshops and schools as mentors and lecturers;</w:t>
      </w:r>
      <w:r>
        <w:t xml:space="preserve"> and</w:t>
      </w:r>
    </w:p>
    <w:p w14:paraId="0CBC9A87" w14:textId="33DB2032" w:rsidR="00F52BDA" w:rsidRDefault="00F52BDA" w:rsidP="00F52BDA">
      <w:pPr>
        <w:pStyle w:val="ListParagraph"/>
        <w:numPr>
          <w:ilvl w:val="0"/>
          <w:numId w:val="6"/>
        </w:numPr>
      </w:pPr>
      <w:r w:rsidRPr="00EA444B">
        <w:t>Software/Hardware testing and validation: Provide and carryout scientific test plans for all new and modified software and hardware for all site telescopes.</w:t>
      </w:r>
    </w:p>
    <w:p w14:paraId="38232786" w14:textId="33BCC86D" w:rsidR="004E71A0" w:rsidRPr="00EA444B" w:rsidRDefault="004E71A0" w:rsidP="00BE3952">
      <w:pPr>
        <w:pStyle w:val="Heading2"/>
      </w:pPr>
      <w:bookmarkStart w:id="344" w:name="_Toc535925815"/>
      <w:bookmarkStart w:id="345" w:name="_Toc535931450"/>
      <w:bookmarkStart w:id="346" w:name="_Toc535932375"/>
      <w:bookmarkStart w:id="347" w:name="_Toc535932671"/>
      <w:bookmarkStart w:id="348" w:name="_Toc535936108"/>
      <w:bookmarkStart w:id="349" w:name="_Toc535936274"/>
      <w:bookmarkStart w:id="350" w:name="_Toc535936205"/>
      <w:bookmarkStart w:id="351" w:name="_Toc535936537"/>
      <w:bookmarkStart w:id="352" w:name="_Toc536007097"/>
      <w:bookmarkStart w:id="353" w:name="_Toc536007487"/>
      <w:bookmarkStart w:id="354" w:name="_Toc536007877"/>
      <w:bookmarkStart w:id="355" w:name="_Toc535924694"/>
      <w:bookmarkStart w:id="356" w:name="_Toc535924850"/>
      <w:bookmarkStart w:id="357" w:name="_Toc535925817"/>
      <w:bookmarkStart w:id="358" w:name="_Toc535931452"/>
      <w:bookmarkStart w:id="359" w:name="_Toc535932377"/>
      <w:bookmarkStart w:id="360" w:name="_Toc535932673"/>
      <w:bookmarkStart w:id="361" w:name="_Toc535936110"/>
      <w:bookmarkStart w:id="362" w:name="_Toc535936276"/>
      <w:bookmarkStart w:id="363" w:name="_Toc535936207"/>
      <w:bookmarkStart w:id="364" w:name="_Toc535936539"/>
      <w:bookmarkStart w:id="365" w:name="_Toc536007099"/>
      <w:bookmarkStart w:id="366" w:name="_Toc536007489"/>
      <w:bookmarkStart w:id="367" w:name="_Toc536007879"/>
      <w:bookmarkStart w:id="368" w:name="_Toc83886135"/>
      <w:bookmarkStart w:id="369" w:name="_Toc535936208"/>
      <w:bookmarkStart w:id="370" w:name="_Toc337142"/>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EA444B">
        <w:t>Electronics</w:t>
      </w:r>
      <w:bookmarkEnd w:id="368"/>
      <w:r w:rsidRPr="00EA444B">
        <w:t xml:space="preserve"> </w:t>
      </w:r>
      <w:bookmarkEnd w:id="369"/>
      <w:bookmarkEnd w:id="370"/>
    </w:p>
    <w:p w14:paraId="1308E19D" w14:textId="7CFF9D1E" w:rsidR="00511338" w:rsidRPr="003F40A4" w:rsidRDefault="00511338" w:rsidP="000E21B8">
      <w:r w:rsidRPr="003F40A4">
        <w:t xml:space="preserve">The Electronics division incorporates a multidisciplinary staff of engineering and technical specialists to maintain all electronic and cryogenic systems of the Observatory. Responsibilities also include support of the Interference Protection Group (IPG). The division continually works to improve reliability of </w:t>
      </w:r>
      <w:r w:rsidR="00F94E12">
        <w:t>GBO</w:t>
      </w:r>
      <w:r w:rsidR="00F94E12" w:rsidRPr="003F40A4">
        <w:t xml:space="preserve"> </w:t>
      </w:r>
      <w:r w:rsidRPr="003F40A4">
        <w:t xml:space="preserve">electronic systems, ensuring data quality, and modifying existing equipment as necessary for new applications. The division assists with public outreach activities, and engages in technology transfer when possible. The division frequently interacts with the at-large astronomical community in an effort to gauge satisfaction of the data acquired with </w:t>
      </w:r>
      <w:r w:rsidR="00F94E12">
        <w:t>GBO</w:t>
      </w:r>
      <w:r w:rsidR="00F94E12" w:rsidRPr="003F40A4">
        <w:t xml:space="preserve"> </w:t>
      </w:r>
      <w:r w:rsidRPr="003F40A4">
        <w:t>instruments and understand their future scientific requirements. The division historically collaborates with college and university groups</w:t>
      </w:r>
      <w:r w:rsidR="000770F9" w:rsidRPr="003F40A4">
        <w:t xml:space="preserve"> in addition to other observatories</w:t>
      </w:r>
      <w:r w:rsidRPr="003F40A4">
        <w:t xml:space="preserve"> in pursuit of advanced technology providing the scientific community with the next generation of radio astronomy instrumentation.</w:t>
      </w:r>
    </w:p>
    <w:p w14:paraId="0722E755" w14:textId="7A5370B2" w:rsidR="00F2628A" w:rsidRPr="00A1039D" w:rsidRDefault="00511338" w:rsidP="001812E3">
      <w:pPr>
        <w:rPr>
          <w:spacing w:val="2"/>
        </w:rPr>
      </w:pPr>
      <w:r w:rsidRPr="00A1039D">
        <w:rPr>
          <w:spacing w:val="2"/>
        </w:rPr>
        <w:t xml:space="preserve">Two groups comprise the division: a microwave group that maintains the suite of receiver systems, and a digital group that maintains the active surface, telescope control systems, and digital signal processing equipment. Commensurate with receiver system maintenance are development projects motivated by improved performance and reduced equipment physical size and carbon footprint. The digital group </w:t>
      </w:r>
      <w:r w:rsidRPr="00A1039D">
        <w:rPr>
          <w:spacing w:val="2"/>
        </w:rPr>
        <w:lastRenderedPageBreak/>
        <w:t xml:space="preserve">shepherds the active surface component repair and replacement efforts and pursues advance digital signal processing techniques. Active projects include the </w:t>
      </w:r>
      <w:r w:rsidR="000770F9" w:rsidRPr="00A1039D">
        <w:rPr>
          <w:spacing w:val="2"/>
        </w:rPr>
        <w:t>Ultra-Wideband Feed</w:t>
      </w:r>
      <w:r w:rsidRPr="00A1039D">
        <w:rPr>
          <w:spacing w:val="2"/>
        </w:rPr>
        <w:t xml:space="preserve">, </w:t>
      </w:r>
      <w:r w:rsidR="00380C97" w:rsidRPr="00A1039D">
        <w:rPr>
          <w:spacing w:val="2"/>
        </w:rPr>
        <w:t xml:space="preserve">Active Surface replacement, </w:t>
      </w:r>
      <w:r w:rsidRPr="00A1039D">
        <w:rPr>
          <w:spacing w:val="2"/>
        </w:rPr>
        <w:t xml:space="preserve">active RFI elimination techniques, </w:t>
      </w:r>
      <w:r w:rsidR="00380C97" w:rsidRPr="00A1039D">
        <w:rPr>
          <w:spacing w:val="2"/>
        </w:rPr>
        <w:t xml:space="preserve">X-band receiver, </w:t>
      </w:r>
      <w:r w:rsidRPr="00A1039D">
        <w:rPr>
          <w:spacing w:val="2"/>
        </w:rPr>
        <w:t>and modernization of all site antenna control system components.</w:t>
      </w:r>
    </w:p>
    <w:p w14:paraId="333DFFAD" w14:textId="527BF2BD" w:rsidR="00F2628A" w:rsidRPr="00EA444B" w:rsidRDefault="00F2628A" w:rsidP="00BE3952">
      <w:pPr>
        <w:pStyle w:val="Heading3"/>
      </w:pPr>
      <w:bookmarkStart w:id="371" w:name="_Toc535936209"/>
      <w:bookmarkStart w:id="372" w:name="_Toc337143"/>
      <w:r w:rsidRPr="00EA444B">
        <w:t>Facilities and Capabilities</w:t>
      </w:r>
      <w:bookmarkEnd w:id="371"/>
      <w:bookmarkEnd w:id="372"/>
    </w:p>
    <w:p w14:paraId="5E25C754" w14:textId="6E17669B" w:rsidR="00511338" w:rsidRPr="00511338" w:rsidRDefault="00511338">
      <w:r w:rsidRPr="00511338">
        <w:t>For testing current and new instruments, the microwave group maintains a laboratory equipped with state-of-the-art test and measurement equipment, including a bonding machine and probe station for building and testing Monolithic Microwave Integrated Circuit (MMIC) devices, an Anritsu Vector Star network analyzer capable of measuring microwave components up to 115 GHz, and an assortment of RF and fiber optic devices. The RF laboratory routinely produces working RF board and optic designs up to 115 GHz using CST Microwave and Microwave Office development software. Recent projects include</w:t>
      </w:r>
      <w:r w:rsidR="00F94E12">
        <w:t>d</w:t>
      </w:r>
      <w:r w:rsidRPr="00511338">
        <w:t xml:space="preserve"> a 19-element L-band cryogenic PAF receiver, a K-band focal plane array, and a dual beam 4mm receiver with calibration optics. The staff also routinely experiments with commercially available MMIC devices to improve gain stability and baseline performance of the current GBT systems. </w:t>
      </w:r>
    </w:p>
    <w:p w14:paraId="46B214FB" w14:textId="20183A25" w:rsidR="00F2628A" w:rsidRPr="00A1039D" w:rsidRDefault="00511338" w:rsidP="000E21B8">
      <w:pPr>
        <w:rPr>
          <w:spacing w:val="-2"/>
        </w:rPr>
      </w:pPr>
      <w:r w:rsidRPr="00A1039D">
        <w:rPr>
          <w:spacing w:val="-2"/>
        </w:rPr>
        <w:t xml:space="preserve">The digital group has experience with Field Programmable Gate Array (FPGA) design concepts and produces many specialized digital processing systems. This group also experiments with digital servo control systems and metrology techniques for measurement and control of large radio telescopes. Recent signal processing equipment for pulsars and spectral line observations were developed utilizing tools created by the Collaboration for Astronomy Signal Processing and Electronics Research (CASPER) project. This employs FPGA-based hardware and firmware developed at University California-Berkeley with </w:t>
      </w:r>
      <w:proofErr w:type="spellStart"/>
      <w:r w:rsidRPr="00A1039D">
        <w:rPr>
          <w:spacing w:val="-2"/>
        </w:rPr>
        <w:t>Xilinx</w:t>
      </w:r>
      <w:r w:rsidRPr="00A1039D">
        <w:rPr>
          <w:spacing w:val="-2"/>
          <w:vertAlign w:val="superscript"/>
        </w:rPr>
        <w:t>TM</w:t>
      </w:r>
      <w:proofErr w:type="spellEnd"/>
      <w:r w:rsidRPr="00A1039D">
        <w:rPr>
          <w:spacing w:val="-2"/>
        </w:rPr>
        <w:t xml:space="preserve"> FPGAs and </w:t>
      </w:r>
      <w:proofErr w:type="spellStart"/>
      <w:r w:rsidRPr="00A1039D">
        <w:rPr>
          <w:spacing w:val="-2"/>
        </w:rPr>
        <w:t>Matlab</w:t>
      </w:r>
      <w:r w:rsidRPr="00A1039D">
        <w:rPr>
          <w:spacing w:val="-2"/>
          <w:vertAlign w:val="superscript"/>
        </w:rPr>
        <w:t>TM</w:t>
      </w:r>
      <w:proofErr w:type="spellEnd"/>
      <w:r w:rsidRPr="00A1039D">
        <w:rPr>
          <w:spacing w:val="-2"/>
        </w:rPr>
        <w:t xml:space="preserve"> and </w:t>
      </w:r>
      <w:proofErr w:type="spellStart"/>
      <w:r w:rsidRPr="00A1039D">
        <w:rPr>
          <w:spacing w:val="-2"/>
        </w:rPr>
        <w:t>Simulink</w:t>
      </w:r>
      <w:r w:rsidRPr="00A1039D">
        <w:rPr>
          <w:spacing w:val="-2"/>
          <w:vertAlign w:val="superscript"/>
        </w:rPr>
        <w:t>TM</w:t>
      </w:r>
      <w:proofErr w:type="spellEnd"/>
      <w:r w:rsidRPr="00A1039D">
        <w:rPr>
          <w:spacing w:val="-2"/>
        </w:rPr>
        <w:t xml:space="preserve"> development environments. This advanced technology affords the opportunity to develop algorithms that actively detect and excise RFI.</w:t>
      </w:r>
      <w:r w:rsidR="009123CA" w:rsidRPr="00A1039D" w:rsidDel="009123CA">
        <w:rPr>
          <w:spacing w:val="-2"/>
        </w:rPr>
        <w:t xml:space="preserve"> </w:t>
      </w:r>
      <w:bookmarkStart w:id="373" w:name="_Toc535936210"/>
      <w:bookmarkStart w:id="374" w:name="_Toc337144"/>
      <w:r w:rsidR="00F2628A" w:rsidRPr="00A1039D">
        <w:rPr>
          <w:spacing w:val="-2"/>
        </w:rPr>
        <w:t xml:space="preserve">Interference Protection Group </w:t>
      </w:r>
      <w:bookmarkEnd w:id="373"/>
      <w:bookmarkEnd w:id="374"/>
      <w:r w:rsidR="0007579C" w:rsidRPr="00A1039D">
        <w:rPr>
          <w:spacing w:val="-2"/>
        </w:rPr>
        <w:t>(IPG)</w:t>
      </w:r>
      <w:r w:rsidR="00A1039D" w:rsidRPr="00A1039D">
        <w:rPr>
          <w:spacing w:val="-2"/>
        </w:rPr>
        <w:t>.</w:t>
      </w:r>
    </w:p>
    <w:p w14:paraId="67544EE2" w14:textId="70141029" w:rsidR="00511338" w:rsidRPr="00511338" w:rsidRDefault="00511338">
      <w:r w:rsidRPr="00511338">
        <w:t>The Electronics division supports the IPG by providing technical expertise for inspecting transmitters i</w:t>
      </w:r>
      <w:r w:rsidR="00380C97">
        <w:t>n the Radio Quiet Zone, performs</w:t>
      </w:r>
      <w:r w:rsidRPr="00511338">
        <w:t xml:space="preserve"> testing and qualification of electronic equipment located on site, and provides mitigation for interference-producing equipment. One technician performs all site inspections and investigates sources of RFI reported by the scientific staff. A full</w:t>
      </w:r>
      <w:r w:rsidR="00A65406">
        <w:t>-</w:t>
      </w:r>
      <w:r w:rsidRPr="00511338">
        <w:t xml:space="preserve">time engineer maintains and performs all tests in the anechoic chamber. </w:t>
      </w:r>
    </w:p>
    <w:p w14:paraId="28632804" w14:textId="1E2B6972" w:rsidR="00511338" w:rsidRPr="00511338" w:rsidRDefault="00511338">
      <w:r w:rsidRPr="00511338">
        <w:t xml:space="preserve">The GBO RFI protection policy differentiates two zones, one for the </w:t>
      </w:r>
      <w:r w:rsidR="00C0381F">
        <w:t>r</w:t>
      </w:r>
      <w:r w:rsidRPr="00511338">
        <w:t xml:space="preserve">adio </w:t>
      </w:r>
      <w:r w:rsidR="00C0381F">
        <w:t>a</w:t>
      </w:r>
      <w:r w:rsidRPr="00511338">
        <w:t xml:space="preserve">stronomical </w:t>
      </w:r>
      <w:r w:rsidR="00A65406">
        <w:t>i</w:t>
      </w:r>
      <w:r w:rsidR="00A65406" w:rsidRPr="00511338">
        <w:t>nstruments</w:t>
      </w:r>
      <w:r w:rsidRPr="00511338">
        <w:t xml:space="preserve"> (Zone 1), and one for the laboratory, housing, works areas, and the Science Center and other visitor facilities (Zone 2). </w:t>
      </w:r>
    </w:p>
    <w:p w14:paraId="306C5E0C" w14:textId="77EB7B36" w:rsidR="00511338" w:rsidRPr="00511338" w:rsidRDefault="00511338">
      <w:r w:rsidRPr="00511338">
        <w:t xml:space="preserve">In Zone 1, the ground zero of the scientific instruments, the general philosophy for interference mitigation is a preventative, proactive approach. Interference potential is assessed through testing within </w:t>
      </w:r>
      <w:r w:rsidR="00F94E12">
        <w:t>GBO</w:t>
      </w:r>
      <w:r w:rsidRPr="00511338">
        <w:t xml:space="preserve">’s anechoic chamber, and equipment is shielded and filtered as necessary before installation. All installed equipment is required to comply with the limits stated in International Telecommunication Union-Radio (ITU-R) RA.769, assessed with respect to the prime focus point of the GBT at its highest elevation. To avoid strong broadband emissions from spark plugs, motorized traffic is limited to diesel vehicles. Tourists and other site visitors are required to leave their electronic devices behind when they go on </w:t>
      </w:r>
      <w:r w:rsidR="00F94E12">
        <w:t>GBO</w:t>
      </w:r>
      <w:r w:rsidRPr="00511338">
        <w:t xml:space="preserve"> site tour</w:t>
      </w:r>
      <w:r w:rsidR="00F94E12">
        <w:t xml:space="preserve">s </w:t>
      </w:r>
      <w:r w:rsidRPr="00511338">
        <w:t>by bus or on foot.</w:t>
      </w:r>
    </w:p>
    <w:p w14:paraId="6D36B5D8" w14:textId="400D2082" w:rsidR="00F2628A" w:rsidRPr="00EA444B" w:rsidRDefault="00511338">
      <w:r w:rsidRPr="00511338">
        <w:t xml:space="preserve">In Zone 2, the laboratory, housing, and visitor areas, </w:t>
      </w:r>
      <w:r w:rsidR="00F94E12">
        <w:t>GBO</w:t>
      </w:r>
      <w:r w:rsidRPr="00511338">
        <w:t xml:space="preserve"> differentiates between intentional radiators and unintentional radiators. An intentional radiator is any electronic device that intentionally transmits </w:t>
      </w:r>
      <w:r w:rsidRPr="00511338">
        <w:lastRenderedPageBreak/>
        <w:t>radio waves. All intentional radiators except for a select list of coordinated devices that are absolutely necessary for safety (e.g., the 43 MHz site radios) are strictly prohibited</w:t>
      </w:r>
      <w:r w:rsidR="00F2628A" w:rsidRPr="00EA444B">
        <w:t>.</w:t>
      </w:r>
    </w:p>
    <w:p w14:paraId="770B7131" w14:textId="764255AC" w:rsidR="00DE70D4" w:rsidRPr="00EA444B" w:rsidRDefault="00DE70D4" w:rsidP="00BE3952">
      <w:pPr>
        <w:pStyle w:val="Heading3"/>
      </w:pPr>
      <w:bookmarkStart w:id="375" w:name="_Toc535936211"/>
      <w:bookmarkStart w:id="376" w:name="_Toc337145"/>
      <w:r w:rsidRPr="00EA444B">
        <w:t>New Instrument Initiatives and Collaborations</w:t>
      </w:r>
      <w:bookmarkEnd w:id="375"/>
      <w:bookmarkEnd w:id="376"/>
    </w:p>
    <w:p w14:paraId="4C0DFB55" w14:textId="24D2F0AC" w:rsidR="00DE70D4" w:rsidRDefault="00860ADC">
      <w:pPr>
        <w:rPr>
          <w:spacing w:val="-2"/>
        </w:rPr>
      </w:pPr>
      <w:r w:rsidRPr="00F03608">
        <w:rPr>
          <w:spacing w:val="-2"/>
        </w:rPr>
        <w:t>T</w:t>
      </w:r>
      <w:r w:rsidR="00DE70D4" w:rsidRPr="00F03608">
        <w:rPr>
          <w:spacing w:val="-2"/>
        </w:rPr>
        <w:t xml:space="preserve">he </w:t>
      </w:r>
      <w:r w:rsidR="00BE1762" w:rsidRPr="00F03608">
        <w:rPr>
          <w:spacing w:val="-2"/>
        </w:rPr>
        <w:t>E</w:t>
      </w:r>
      <w:r w:rsidR="00DE70D4" w:rsidRPr="00F03608">
        <w:rPr>
          <w:spacing w:val="-2"/>
        </w:rPr>
        <w:t>lectronics division assist</w:t>
      </w:r>
      <w:r w:rsidR="00BE1762" w:rsidRPr="00F03608">
        <w:rPr>
          <w:spacing w:val="-2"/>
        </w:rPr>
        <w:t>s</w:t>
      </w:r>
      <w:r w:rsidR="00DE70D4" w:rsidRPr="00F03608">
        <w:rPr>
          <w:spacing w:val="-2"/>
        </w:rPr>
        <w:t xml:space="preserve"> in writing grant proposals in these research areas </w:t>
      </w:r>
      <w:r w:rsidRPr="00F03608">
        <w:rPr>
          <w:spacing w:val="-2"/>
        </w:rPr>
        <w:t xml:space="preserve">ensuring currency with the latest technologies, and it </w:t>
      </w:r>
      <w:r w:rsidR="00DE70D4" w:rsidRPr="00F03608">
        <w:rPr>
          <w:spacing w:val="-2"/>
        </w:rPr>
        <w:t>collaborate</w:t>
      </w:r>
      <w:r w:rsidR="00BE1762" w:rsidRPr="00F03608">
        <w:rPr>
          <w:spacing w:val="-2"/>
        </w:rPr>
        <w:t xml:space="preserve">s </w:t>
      </w:r>
      <w:r w:rsidR="00DE70D4" w:rsidRPr="00F03608">
        <w:rPr>
          <w:spacing w:val="-2"/>
        </w:rPr>
        <w:t>t</w:t>
      </w:r>
      <w:r w:rsidR="00A51C4C" w:rsidRPr="00F03608">
        <w:rPr>
          <w:spacing w:val="-2"/>
        </w:rPr>
        <w:t>o</w:t>
      </w:r>
      <w:r w:rsidR="00DE70D4" w:rsidRPr="00F03608">
        <w:rPr>
          <w:spacing w:val="-2"/>
        </w:rPr>
        <w:t xml:space="preserve"> improve scientific capabilities </w:t>
      </w:r>
      <w:r w:rsidR="00A51C4C" w:rsidRPr="00F03608">
        <w:rPr>
          <w:spacing w:val="-2"/>
        </w:rPr>
        <w:t xml:space="preserve">and </w:t>
      </w:r>
      <w:r w:rsidR="00DE70D4" w:rsidRPr="00F03608">
        <w:rPr>
          <w:spacing w:val="-2"/>
        </w:rPr>
        <w:t>GBT observing efficiency.</w:t>
      </w:r>
      <w:r w:rsidR="000B16DD" w:rsidRPr="00F03608">
        <w:rPr>
          <w:spacing w:val="-2"/>
        </w:rPr>
        <w:t xml:space="preserve"> Included in the proposals are opportunities for both undergraduate and graduate students to participate in design and construction. These proposals also have an EPO component</w:t>
      </w:r>
      <w:r w:rsidR="00341E93" w:rsidRPr="00F03608">
        <w:rPr>
          <w:spacing w:val="-2"/>
        </w:rPr>
        <w:t>,</w:t>
      </w:r>
      <w:r w:rsidR="000B16DD" w:rsidRPr="00F03608">
        <w:rPr>
          <w:spacing w:val="-2"/>
        </w:rPr>
        <w:t xml:space="preserve"> which </w:t>
      </w:r>
      <w:r w:rsidRPr="00F03608">
        <w:rPr>
          <w:spacing w:val="-2"/>
        </w:rPr>
        <w:t>contributes to</w:t>
      </w:r>
      <w:r w:rsidR="000B16DD" w:rsidRPr="00F03608">
        <w:rPr>
          <w:spacing w:val="-2"/>
        </w:rPr>
        <w:t xml:space="preserve"> the division’s history of developing cost</w:t>
      </w:r>
      <w:r w:rsidR="00A65406" w:rsidRPr="00F03608">
        <w:rPr>
          <w:spacing w:val="-2"/>
        </w:rPr>
        <w:t>-</w:t>
      </w:r>
      <w:r w:rsidR="000B16DD" w:rsidRPr="00F03608">
        <w:rPr>
          <w:spacing w:val="-2"/>
        </w:rPr>
        <w:t xml:space="preserve">effective circuitry </w:t>
      </w:r>
      <w:r w:rsidRPr="00F03608">
        <w:rPr>
          <w:spacing w:val="-2"/>
        </w:rPr>
        <w:t xml:space="preserve">and instrumentation </w:t>
      </w:r>
      <w:r w:rsidR="000B16DD" w:rsidRPr="00F03608">
        <w:rPr>
          <w:spacing w:val="-2"/>
        </w:rPr>
        <w:t xml:space="preserve">for students to explore radio astronomy.  </w:t>
      </w:r>
    </w:p>
    <w:p w14:paraId="42373486" w14:textId="77777777" w:rsidR="000F0DF2" w:rsidRDefault="00F52BDA" w:rsidP="00F52BDA">
      <w:pPr>
        <w:pStyle w:val="Heading2"/>
      </w:pPr>
      <w:bookmarkStart w:id="377" w:name="_Toc83886139"/>
      <w:bookmarkStart w:id="378" w:name="_Toc536160902"/>
      <w:bookmarkStart w:id="379" w:name="_Toc337154"/>
      <w:r w:rsidRPr="00EA444B">
        <w:t xml:space="preserve">Software </w:t>
      </w:r>
    </w:p>
    <w:p w14:paraId="66542CFB" w14:textId="2DFC46DC" w:rsidR="00F52BDA" w:rsidRPr="00EA444B" w:rsidRDefault="00F52BDA" w:rsidP="000F0DF2">
      <w:pPr>
        <w:pStyle w:val="Heading3"/>
      </w:pPr>
      <w:r w:rsidRPr="00EA444B">
        <w:t>Development</w:t>
      </w:r>
      <w:bookmarkEnd w:id="377"/>
      <w:r w:rsidRPr="00EA444B">
        <w:t xml:space="preserve"> </w:t>
      </w:r>
      <w:bookmarkEnd w:id="378"/>
      <w:bookmarkEnd w:id="379"/>
    </w:p>
    <w:p w14:paraId="4B67C097" w14:textId="75643150" w:rsidR="00F52BDA" w:rsidRDefault="00F52BDA">
      <w:r w:rsidRPr="00511338">
        <w:t xml:space="preserve">The </w:t>
      </w:r>
      <w:r>
        <w:t>GBO</w:t>
      </w:r>
      <w:r w:rsidRPr="00511338">
        <w:t xml:space="preserve"> Software Development Division (SDD) develops, maintains, and upgrades subsystems supporting the operation of the GBT and other </w:t>
      </w:r>
      <w:r>
        <w:t>GBO</w:t>
      </w:r>
      <w:r w:rsidRPr="00511338">
        <w:t xml:space="preserve"> telescopes and systems. Major subsystems include: observation management, telescope monitor and control, telescope scheduling, data reduction, and data archiving. Other supported applications include the Green Bank Reservation System and a small suite of tools to support NRQZ administration.</w:t>
      </w:r>
      <w:r w:rsidRPr="00EA444B">
        <w:t xml:space="preserve"> </w:t>
      </w:r>
    </w:p>
    <w:p w14:paraId="2857DAD9" w14:textId="77777777" w:rsidR="000F0DF2" w:rsidRDefault="000F0DF2" w:rsidP="000F0DF2">
      <w:pPr>
        <w:pStyle w:val="Heading3"/>
      </w:pPr>
      <w:bookmarkStart w:id="380" w:name="_Toc83886153"/>
      <w:r>
        <w:t>Software Infrastructure</w:t>
      </w:r>
      <w:bookmarkEnd w:id="380"/>
    </w:p>
    <w:p w14:paraId="63EC9A64" w14:textId="2AF3FC91" w:rsidR="000F0DF2" w:rsidRPr="00DC1D53" w:rsidRDefault="000F0DF2" w:rsidP="000F0DF2">
      <w:pPr>
        <w:pStyle w:val="PlainText"/>
      </w:pPr>
      <w:r w:rsidRPr="000F0DF2">
        <w:rPr>
          <w:b/>
        </w:rPr>
        <w:t>CLEO Update</w:t>
      </w:r>
      <w:r>
        <w:t xml:space="preserve">: </w:t>
      </w:r>
      <w:r w:rsidRPr="00EA444B">
        <w:t xml:space="preserve">CLEO, the Command Library for Operators and Engineers, is the primary software used by staff to operate and diagnose issues with </w:t>
      </w:r>
      <w:r>
        <w:t>GBO</w:t>
      </w:r>
      <w:r w:rsidRPr="00EA444B">
        <w:t xml:space="preserve"> telescopes using the standard monitor and control system software. SDD has assumed responsibility for this application from the Science Division and is in the process of porting it from </w:t>
      </w:r>
      <w:proofErr w:type="spellStart"/>
      <w:r w:rsidRPr="00EA444B">
        <w:t>Tcl</w:t>
      </w:r>
      <w:proofErr w:type="spellEnd"/>
      <w:r w:rsidRPr="00EA444B">
        <w:t xml:space="preserve">/Tk to Python and updating the associated documentation. </w:t>
      </w:r>
      <w:r>
        <w:t xml:space="preserve">Because the existing CLEO system is stable, the project to port CLEO to Python is not a top tier priority for the </w:t>
      </w:r>
      <w:r w:rsidRPr="00EA444B">
        <w:t xml:space="preserve">SDD </w:t>
      </w:r>
      <w:r>
        <w:t xml:space="preserve">team. Therefore, it is currently being staffed as a second-tier effort, and SDD </w:t>
      </w:r>
      <w:r w:rsidRPr="00EA444B">
        <w:t>expects th</w:t>
      </w:r>
      <w:r>
        <w:t>is process to conclude in FY2024 at the anticipated level of effort.</w:t>
      </w:r>
    </w:p>
    <w:p w14:paraId="1F31425F" w14:textId="31F2C08A" w:rsidR="000F0DF2" w:rsidRPr="00BD5AAC" w:rsidRDefault="000F0DF2" w:rsidP="000F0DF2">
      <w:pPr>
        <w:pStyle w:val="PlainText"/>
      </w:pPr>
      <w:r w:rsidRPr="000F0DF2">
        <w:rPr>
          <w:b/>
        </w:rPr>
        <w:t>Dynamic Scheduling System (DSS)</w:t>
      </w:r>
      <w:r w:rsidRPr="000F0DF2">
        <w:t>:</w:t>
      </w:r>
      <w:r>
        <w:t xml:space="preserve"> </w:t>
      </w:r>
      <w:r w:rsidRPr="00511338">
        <w:t>One of the main tools for managing GBT Science Operations activities and a cornerstone of efficient GBT operation is the Dynamic Scheduling Sy</w:t>
      </w:r>
      <w:r>
        <w:t>stem (DSS). Commissioned in 2009 for the 2009C trimester,</w:t>
      </w:r>
      <w:r w:rsidRPr="00511338">
        <w:t xml:space="preserve"> the DSS replaced a</w:t>
      </w:r>
      <w:r>
        <w:t>n</w:t>
      </w:r>
      <w:r w:rsidRPr="00511338">
        <w:t xml:space="preserve"> entirely manual scheduling system with a</w:t>
      </w:r>
      <w:r>
        <w:t>n</w:t>
      </w:r>
      <w:r w:rsidRPr="00511338">
        <w:t xml:space="preserve"> algorithmic-based scheduler which takes input from the proposal process, available GBT receivers, and predicted weather conditions to effectively and efficiently schedule observing projects on the GBT, maximizing the weather sensitive high frequency observations. The DSS has performed admirably, however in the intervening years new capabilities, enabled by the anticipated expansion of high frequency availability due to LASSI, scheduling constraints of fixed (windowed) observations, plus contracted GBT observations</w:t>
      </w:r>
      <w:r>
        <w:t>,</w:t>
      </w:r>
      <w:r w:rsidRPr="00511338">
        <w:t xml:space="preserve"> require an update to the definitions and algorithms employed by the DSS. The planning and requirements gathering activities phase of this internally</w:t>
      </w:r>
      <w:r>
        <w:t xml:space="preserve"> </w:t>
      </w:r>
      <w:r w:rsidRPr="00511338">
        <w:t xml:space="preserve">funded project </w:t>
      </w:r>
      <w:r>
        <w:t>was intended to launch in FY2021, however much of that work has been delayed, and the launch is now planned for FY2022</w:t>
      </w:r>
      <w:r w:rsidRPr="00511338">
        <w:t>.</w:t>
      </w:r>
    </w:p>
    <w:p w14:paraId="3FCC0017" w14:textId="77777777" w:rsidR="000F0DF2" w:rsidRDefault="000F0DF2" w:rsidP="000F0DF2">
      <w:pPr>
        <w:pStyle w:val="Heading3"/>
      </w:pPr>
      <w:bookmarkStart w:id="381" w:name="_Toc83886154"/>
      <w:r>
        <w:t>User Facing Tools</w:t>
      </w:r>
      <w:bookmarkEnd w:id="381"/>
    </w:p>
    <w:p w14:paraId="10961344" w14:textId="43EDB256" w:rsidR="000F0DF2" w:rsidRPr="00EA444B" w:rsidRDefault="000F0DF2" w:rsidP="000F0DF2">
      <w:pPr>
        <w:pStyle w:val="PlainText"/>
      </w:pPr>
      <w:r w:rsidRPr="000F0DF2">
        <w:rPr>
          <w:b/>
        </w:rPr>
        <w:t>Proposal Submission Tool</w:t>
      </w:r>
      <w:r>
        <w:t xml:space="preserve">: </w:t>
      </w:r>
      <w:r w:rsidRPr="00EA444B">
        <w:t xml:space="preserve">Observing proposals for the scientific use of AUI-managed telescopes employ a common tool and are evaluated on the basis of scientific merit and technical feasibility using a joint, panel-based review system run by NRAO. The scientific assessment and ranking of proposals is </w:t>
      </w:r>
      <w:r w:rsidRPr="00EA444B">
        <w:lastRenderedPageBreak/>
        <w:t>undertaken by a numbe</w:t>
      </w:r>
      <w:r>
        <w:t>r of Science Review Panels (SRP</w:t>
      </w:r>
      <w:r w:rsidRPr="00EA444B">
        <w:t xml:space="preserve">) which each consider a specific science area, and are then collated by a Telescope Allocation Committee (TAC) made up of the SRP chairs. Proposals are submitted using the </w:t>
      </w:r>
      <w:r>
        <w:t>NRAO’s</w:t>
      </w:r>
      <w:r w:rsidRPr="00EA444B">
        <w:t xml:space="preserve"> Observatory Proposal Submission Tool (PST), which also supports the work done by the SRPs. The Observatory-specific Proposal Handling Tool (PHT) and Dynamic Scheduling System (DSS) support the assignment of scheduling priorities by the TAC and the scheduling and preparation of the observations for accepted proposals.</w:t>
      </w:r>
    </w:p>
    <w:p w14:paraId="686DE15B" w14:textId="77777777" w:rsidR="000F0DF2" w:rsidRPr="00EA444B" w:rsidRDefault="000F0DF2" w:rsidP="000F0DF2">
      <w:pPr>
        <w:pStyle w:val="PlainText"/>
      </w:pPr>
      <w:r w:rsidRPr="00EA444B">
        <w:t xml:space="preserve">Using NRAO </w:t>
      </w:r>
      <w:r>
        <w:t xml:space="preserve">and GBO </w:t>
      </w:r>
      <w:r w:rsidRPr="00EA444B">
        <w:t xml:space="preserve">resources, a substantial effort is underway to develop a new suite of Telescope Time Allocation (TTA) software tools, with an initial focus on the proposal process (PST/PHT) and any interfaces to software downstream (e.g., DSS). The new software tools will benefit proposals for the GBT, as well as the VLA, VLBA, and Global Millimeter VLBI Array (GMVA). To the extent possible, the new tools will provide a unified user experience across all the AUI facilities. Ideally, the experience of a user submitting a proposal also should be as similar as practical to ALMA proposal submissions using the ALMA Observing Tool suite.   </w:t>
      </w:r>
    </w:p>
    <w:p w14:paraId="61C679A0" w14:textId="3ED1F546" w:rsidR="000F0DF2" w:rsidRPr="00EA444B" w:rsidRDefault="000F0DF2" w:rsidP="000F0DF2">
      <w:pPr>
        <w:pStyle w:val="PlainText"/>
      </w:pPr>
      <w:r w:rsidRPr="000F0DF2">
        <w:rPr>
          <w:b/>
        </w:rPr>
        <w:t>Archive Access Tool</w:t>
      </w:r>
      <w:r>
        <w:t xml:space="preserve">: </w:t>
      </w:r>
      <w:r w:rsidRPr="00EA444B">
        <w:t>A common AUI observatory data archive consists of metadata and raw data for the VLA, VLBA, and GBT. An Archive Access Tool (AAT) provides an interface to search and retrieve data from the archive. For the GBT, data products consist of individual Flexible Image Transport System (FITS) files or a single SDFITS file, stored in the Next Generation Archive System (NGAS).</w:t>
      </w:r>
    </w:p>
    <w:p w14:paraId="1634DF85" w14:textId="77777777" w:rsidR="000F0DF2" w:rsidRDefault="000F0DF2" w:rsidP="000F0DF2">
      <w:pPr>
        <w:pStyle w:val="PlainText"/>
      </w:pPr>
      <w:r w:rsidRPr="00EA444B">
        <w:t xml:space="preserve">A modernized AAT is presently under development by NRAO that will contain data from all AUI facilities, including ALMA, VLA, VLBA, and GBT. Included in this project is effort to improve support for the GBT data products. </w:t>
      </w:r>
      <w:r>
        <w:t>A goal to have the initial set of existing GBT data searchable and retrievable via the NRAO AAT is expected to be met by the end of FY2021.</w:t>
      </w:r>
    </w:p>
    <w:p w14:paraId="056FB67B" w14:textId="77777777" w:rsidR="000F0DF2" w:rsidRPr="009254E0" w:rsidRDefault="000F0DF2" w:rsidP="000F0DF2">
      <w:pPr>
        <w:rPr>
          <w:spacing w:val="-2"/>
        </w:rPr>
      </w:pPr>
      <w:r w:rsidRPr="009254E0">
        <w:rPr>
          <w:spacing w:val="-2"/>
        </w:rPr>
        <w:t xml:space="preserve">In FY2022, a next stage of enhancements to GBT archival data is planned to take advantage of GBO’s new data center. The infrastructure will be installed and developed to ingest GBT data into the new GBO data center. After the data is ingested, the NRAO Archive Access Tool will be updated to accommodate the new location of GBT archival data. Included in this project is planning for proper data management of new data. </w:t>
      </w:r>
    </w:p>
    <w:p w14:paraId="29B832E6" w14:textId="77777777" w:rsidR="000F0DF2" w:rsidRDefault="000F0DF2" w:rsidP="000F0DF2">
      <w:pPr>
        <w:pStyle w:val="PlainText"/>
        <w:rPr>
          <w:highlight w:val="yellow"/>
        </w:rPr>
      </w:pPr>
      <w:r w:rsidRPr="00EA444B">
        <w:t xml:space="preserve">The online NRAO archive tool provides astronomers with the means to access their GBT data obtained during observations, training, and workshop sessions. GBT data will continue to be ingested into this tool for the foreseeable future. If changes are made to </w:t>
      </w:r>
      <w:r>
        <w:t>the archive tool to meet</w:t>
      </w:r>
      <w:r w:rsidRPr="00EA444B">
        <w:t xml:space="preserve"> NRAO </w:t>
      </w:r>
      <w:r>
        <w:t xml:space="preserve">requirements that render it unusable for the </w:t>
      </w:r>
      <w:r w:rsidRPr="00EA444B">
        <w:t>GBT</w:t>
      </w:r>
      <w:r>
        <w:t xml:space="preserve"> archive</w:t>
      </w:r>
      <w:r w:rsidRPr="00EA444B">
        <w:t xml:space="preserve">, </w:t>
      </w:r>
      <w:r>
        <w:t>GBO</w:t>
      </w:r>
      <w:r w:rsidRPr="00EA444B">
        <w:t xml:space="preserve"> </w:t>
      </w:r>
      <w:r>
        <w:t>may</w:t>
      </w:r>
      <w:r w:rsidRPr="00EA444B">
        <w:t xml:space="preserve"> develop a new tool for the GBT, as resources permit.</w:t>
      </w:r>
      <w:r>
        <w:t xml:space="preserve">  </w:t>
      </w:r>
    </w:p>
    <w:p w14:paraId="1A856D76" w14:textId="77777777" w:rsidR="000F0DF2" w:rsidRPr="00EA444B" w:rsidRDefault="000F0DF2" w:rsidP="000F0DF2">
      <w:r>
        <w:t xml:space="preserve">The GBO Archive Project will also establish </w:t>
      </w:r>
      <w:r w:rsidRPr="00A65406">
        <w:t xml:space="preserve">the additional search parameters that would be desired by the pulsar and transient community, changing the descriptive files used by the AAT to locate data and include the additional data files. Implementation of this work is a multi-year project </w:t>
      </w:r>
      <w:r>
        <w:t>that</w:t>
      </w:r>
      <w:r w:rsidRPr="00A65406">
        <w:t xml:space="preserve"> will build off of the availability of GBT data in the NRAO AAT launched in late FY2021.</w:t>
      </w:r>
    </w:p>
    <w:p w14:paraId="1EEE1083" w14:textId="4892D542" w:rsidR="000F0DF2" w:rsidRPr="009254E0" w:rsidRDefault="000F0DF2" w:rsidP="000F0DF2">
      <w:pPr>
        <w:pStyle w:val="PlainText"/>
        <w:rPr>
          <w:spacing w:val="-4"/>
        </w:rPr>
      </w:pPr>
      <w:r w:rsidRPr="000F0DF2">
        <w:rPr>
          <w:b/>
        </w:rPr>
        <w:t>Telescope Time Allocation Tools (TTAT)</w:t>
      </w:r>
      <w:r>
        <w:t xml:space="preserve">: </w:t>
      </w:r>
      <w:r w:rsidRPr="009254E0">
        <w:rPr>
          <w:spacing w:val="-4"/>
        </w:rPr>
        <w:t>The TTAT initiative is being led by NRAO</w:t>
      </w:r>
      <w:r>
        <w:rPr>
          <w:spacing w:val="-4"/>
        </w:rPr>
        <w:t xml:space="preserve"> under an SLA</w:t>
      </w:r>
      <w:r w:rsidRPr="009254E0">
        <w:rPr>
          <w:spacing w:val="-4"/>
        </w:rPr>
        <w:t>. A new set of tools will support the solicitation, preparation, review, and allocation of time to proposals. The software development of these tools began in FY2021 and extends throughout a multi-year project. NRAO’s SRDP program will support the development of the logical design and prototype through the refinement of requirements and testing of prototype implementations. GBO SDD is working on a collaborative NRAO/GBO team to implement the overall architecture as well as the implementation of GBO-specific requirements. Milestones for this project are covered as part of NRAO’s Program Operating Plan.</w:t>
      </w:r>
    </w:p>
    <w:p w14:paraId="28191A8F" w14:textId="235B04FC" w:rsidR="00BC2DEB" w:rsidRPr="00EA444B" w:rsidRDefault="00BC2DEB" w:rsidP="00BE3952">
      <w:pPr>
        <w:pStyle w:val="Heading2"/>
      </w:pPr>
      <w:bookmarkStart w:id="382" w:name="_Toc535936212"/>
      <w:bookmarkStart w:id="383" w:name="_Toc337146"/>
      <w:bookmarkStart w:id="384" w:name="_Toc83886136"/>
      <w:r w:rsidRPr="00EA444B">
        <w:lastRenderedPageBreak/>
        <w:t>Telescope Operations</w:t>
      </w:r>
      <w:bookmarkEnd w:id="382"/>
      <w:r w:rsidR="00E14BB3" w:rsidRPr="00EA444B">
        <w:t xml:space="preserve"> and Maintenance</w:t>
      </w:r>
      <w:bookmarkEnd w:id="383"/>
      <w:bookmarkEnd w:id="384"/>
    </w:p>
    <w:p w14:paraId="1A1434CE" w14:textId="2329BD4C" w:rsidR="00C70618" w:rsidRPr="00C0381F" w:rsidRDefault="00F94E12">
      <w:r>
        <w:t>GBO</w:t>
      </w:r>
      <w:r w:rsidR="009E7D55" w:rsidRPr="00C0381F">
        <w:t xml:space="preserve"> currently </w:t>
      </w:r>
      <w:r w:rsidR="00BE1762" w:rsidRPr="00C0381F">
        <w:t xml:space="preserve">operates </w:t>
      </w:r>
      <w:r w:rsidR="005D1EF5" w:rsidRPr="00C0381F">
        <w:t>three</w:t>
      </w:r>
      <w:r w:rsidR="00FE6282" w:rsidRPr="00C0381F">
        <w:t xml:space="preserve"> active</w:t>
      </w:r>
      <w:r w:rsidR="00BE1762" w:rsidRPr="00C0381F">
        <w:t xml:space="preserve"> telescopes</w:t>
      </w:r>
      <w:r w:rsidR="009E7D55" w:rsidRPr="00C0381F">
        <w:t>: the GBT, the 40</w:t>
      </w:r>
      <w:r w:rsidR="00BE1762" w:rsidRPr="00C0381F">
        <w:t>-</w:t>
      </w:r>
      <w:r w:rsidR="009E7D55" w:rsidRPr="00C0381F">
        <w:t xml:space="preserve">Foot </w:t>
      </w:r>
      <w:r w:rsidR="0007579C" w:rsidRPr="00C0381F">
        <w:t>t</w:t>
      </w:r>
      <w:r w:rsidR="009E7D55" w:rsidRPr="00C0381F">
        <w:t>elescope, and the 20</w:t>
      </w:r>
      <w:r w:rsidR="00BE1762" w:rsidRPr="00C0381F">
        <w:t>-</w:t>
      </w:r>
      <w:r w:rsidR="00D20D10" w:rsidRPr="00C0381F">
        <w:t>M</w:t>
      </w:r>
      <w:r w:rsidR="009E7D55" w:rsidRPr="00C0381F">
        <w:t xml:space="preserve">eter </w:t>
      </w:r>
      <w:r w:rsidR="0007579C" w:rsidRPr="00C0381F">
        <w:t>t</w:t>
      </w:r>
      <w:r w:rsidR="009E7D55" w:rsidRPr="00C0381F">
        <w:t xml:space="preserve">elescope. </w:t>
      </w:r>
      <w:r w:rsidR="00BE1762" w:rsidRPr="00C0381F">
        <w:t>O</w:t>
      </w:r>
      <w:r w:rsidR="009E7D55" w:rsidRPr="00C0381F">
        <w:t xml:space="preserve">ther site telescopes do not currently have observing programs, and the Telescope Operations </w:t>
      </w:r>
      <w:r w:rsidR="00BE1762" w:rsidRPr="00C0381F">
        <w:t>d</w:t>
      </w:r>
      <w:r w:rsidR="009E7D55" w:rsidRPr="00C0381F">
        <w:t>ivision provides only caretaker maintenance for them.</w:t>
      </w:r>
      <w:r w:rsidR="00C70618" w:rsidRPr="00C0381F">
        <w:t xml:space="preserve"> Engineering for replacements is provided by the Chief Telescope Engineer and servo system </w:t>
      </w:r>
      <w:r w:rsidR="00743B3B" w:rsidRPr="00C0381F">
        <w:t>engineers</w:t>
      </w:r>
      <w:r w:rsidR="00D26DFE" w:rsidRPr="00C0381F">
        <w:t xml:space="preserve"> matrixed from the </w:t>
      </w:r>
      <w:r w:rsidR="00705878" w:rsidRPr="00C0381F">
        <w:t>Electronics</w:t>
      </w:r>
      <w:r w:rsidR="00D26DFE" w:rsidRPr="00C0381F">
        <w:t xml:space="preserve"> </w:t>
      </w:r>
      <w:r w:rsidR="005A13CC" w:rsidRPr="00C0381F">
        <w:t>d</w:t>
      </w:r>
      <w:r w:rsidR="00D26DFE" w:rsidRPr="00C0381F">
        <w:t>ivision</w:t>
      </w:r>
      <w:r w:rsidR="00C70618" w:rsidRPr="00C0381F">
        <w:t>.</w:t>
      </w:r>
    </w:p>
    <w:p w14:paraId="68F692B0" w14:textId="0E7AAFF9" w:rsidR="001A7B87" w:rsidRPr="00EA444B" w:rsidRDefault="001A7B87" w:rsidP="00BE3952">
      <w:pPr>
        <w:pStyle w:val="Heading3"/>
      </w:pPr>
      <w:bookmarkStart w:id="385" w:name="_Toc337147"/>
      <w:r w:rsidRPr="00EA444B">
        <w:t>Telescope Maintenance</w:t>
      </w:r>
      <w:bookmarkEnd w:id="385"/>
    </w:p>
    <w:p w14:paraId="29F8582E" w14:textId="77777777" w:rsidR="00E14BB3" w:rsidRPr="00EA444B" w:rsidRDefault="009E7D55">
      <w:r w:rsidRPr="00EA444B">
        <w:t xml:space="preserve">The Telescope Operations Division performs preventive and corrective maintenance tasks on </w:t>
      </w:r>
      <w:r w:rsidR="00D26DFE" w:rsidRPr="00EA444B">
        <w:t xml:space="preserve">all the site telescopes </w:t>
      </w:r>
      <w:r w:rsidRPr="00EA444B">
        <w:t xml:space="preserve">and </w:t>
      </w:r>
      <w:r w:rsidR="00D26DFE" w:rsidRPr="00EA444B">
        <w:t>their</w:t>
      </w:r>
      <w:r w:rsidRPr="00EA444B">
        <w:t xml:space="preserve"> systems. Preventive maintenance, testing, and calibration tasks were developed jointly by the Telescope Mechanics, the Telescope Electrician, and the Chief Telescope Engineer, and are performed in accordance with a master preventative maintenance schedule. Engineers and technicians from the Electronics division guide and perform maintenance and repair tasks for the servo motors of the telescope, with assistance from Telescope Operations. Preventive maintenance tasks include routine lubrication, scheduled equipment change outs, painting, and inspections. The Chief Telescope Engineer reviews findings from preventive maintenance tasks, oversees the collection of oil and grease samples and analysis, and performs vibration analysis of motors. </w:t>
      </w:r>
    </w:p>
    <w:p w14:paraId="0238D092" w14:textId="0D6A7ACF" w:rsidR="006C3BE9" w:rsidRDefault="006C3BE9">
      <w:r w:rsidRPr="00D93354">
        <w:t xml:space="preserve">All operating telescopes undergo routine maintenance for all front- and back-end systems, including cold-head and compressor maintenance for the cryogenic receivers, repair of failed parts in the front ends, servo and Local Oscillator systems, and the maintenance and repair of fiber optic connections. Antenna mechanics also analyzed lubricants for metal and other foreign particles on all </w:t>
      </w:r>
      <w:r w:rsidR="008653C3">
        <w:t>GBO</w:t>
      </w:r>
      <w:r w:rsidR="008653C3" w:rsidRPr="00D93354">
        <w:t xml:space="preserve"> </w:t>
      </w:r>
      <w:r w:rsidRPr="00D93354">
        <w:t xml:space="preserve">antennas, to be alerted to potential failure of moving parts, especially azimuth truck bearings and elevation gears and bearings. Routine telescope structural maintenance </w:t>
      </w:r>
      <w:r w:rsidR="001C0921" w:rsidRPr="00D93354">
        <w:t>continues</w:t>
      </w:r>
      <w:r w:rsidRPr="00D93354">
        <w:t xml:space="preserve"> all telescopes.</w:t>
      </w:r>
    </w:p>
    <w:p w14:paraId="48F60F78" w14:textId="22BC583F" w:rsidR="00BE3952" w:rsidRDefault="00BE3952"/>
    <w:p w14:paraId="2E9220B6" w14:textId="77777777" w:rsidR="00BE3952" w:rsidRDefault="00BE3952"/>
    <w:p w14:paraId="5847F0AE" w14:textId="6F4A5EB8" w:rsidR="001A7B87" w:rsidRPr="00EA444B" w:rsidRDefault="001A7B87" w:rsidP="00BE3952">
      <w:pPr>
        <w:pStyle w:val="Heading3"/>
      </w:pPr>
      <w:bookmarkStart w:id="386" w:name="_Toc337148"/>
      <w:r w:rsidRPr="00EA444B">
        <w:t>Telescope Operat</w:t>
      </w:r>
      <w:r w:rsidR="00E14BB3" w:rsidRPr="00EA444B">
        <w:t>ions</w:t>
      </w:r>
      <w:bookmarkEnd w:id="386"/>
    </w:p>
    <w:p w14:paraId="76116583" w14:textId="1F6080FB" w:rsidR="00E14BB3" w:rsidRPr="00EA444B" w:rsidRDefault="00E14BB3">
      <w:r w:rsidRPr="00EA444B">
        <w:t>A rotating work group of operators control the operations of the GBT and the 20</w:t>
      </w:r>
      <w:r w:rsidR="00D20D10" w:rsidRPr="00EA444B">
        <w:t>-</w:t>
      </w:r>
      <w:r w:rsidRPr="00EA444B">
        <w:t xml:space="preserve">Meter from </w:t>
      </w:r>
      <w:r w:rsidR="000B0052">
        <w:t>a single operator</w:t>
      </w:r>
      <w:r w:rsidRPr="00EA444B">
        <w:t xml:space="preserve"> work station. </w:t>
      </w:r>
      <w:r w:rsidR="00A623EE" w:rsidRPr="00EA444B">
        <w:t>T</w:t>
      </w:r>
      <w:r w:rsidRPr="00EA444B">
        <w:t xml:space="preserve">hey </w:t>
      </w:r>
      <w:r w:rsidR="001C0921" w:rsidRPr="00EA444B">
        <w:t>can</w:t>
      </w:r>
      <w:r w:rsidRPr="00EA444B">
        <w:t xml:space="preserve"> manage the current observing programs for these telescopes productively. Additional programs, or major changes to the current program, will likely require additional resources or restructuring of workflow. Each operator has an 11</w:t>
      </w:r>
      <w:r w:rsidR="00A65406">
        <w:t>-</w:t>
      </w:r>
      <w:r w:rsidRPr="00EA444B">
        <w:t xml:space="preserve">week rotation, with 8 weeks on operations duty and 3 weeks office duty, during which time they provide relief and maintenance support, training, </w:t>
      </w:r>
      <w:r w:rsidR="00820034">
        <w:t xml:space="preserve">documentation, </w:t>
      </w:r>
      <w:r w:rsidRPr="00EA444B">
        <w:t>and procedure development.</w:t>
      </w:r>
    </w:p>
    <w:p w14:paraId="422973D2" w14:textId="4E8C054D" w:rsidR="00573D01" w:rsidRPr="00EA444B" w:rsidRDefault="00573D01" w:rsidP="00BE3952">
      <w:pPr>
        <w:pStyle w:val="Heading2"/>
      </w:pPr>
      <w:bookmarkStart w:id="387" w:name="_Toc83886137"/>
      <w:bookmarkStart w:id="388" w:name="_Toc535936213"/>
      <w:bookmarkStart w:id="389" w:name="_Toc337149"/>
      <w:r w:rsidRPr="00EA444B">
        <w:t>Mechanical</w:t>
      </w:r>
      <w:bookmarkEnd w:id="387"/>
      <w:r w:rsidRPr="00EA444B">
        <w:t xml:space="preserve"> </w:t>
      </w:r>
      <w:bookmarkEnd w:id="388"/>
      <w:bookmarkEnd w:id="389"/>
    </w:p>
    <w:p w14:paraId="4B4D04BF" w14:textId="5F4335F9" w:rsidR="00900075" w:rsidRPr="00EA444B" w:rsidRDefault="00900075">
      <w:r w:rsidRPr="00EA444B">
        <w:t xml:space="preserve">The Mechanical </w:t>
      </w:r>
      <w:r w:rsidR="005A13CC" w:rsidRPr="00EA444B">
        <w:t>d</w:t>
      </w:r>
      <w:r w:rsidRPr="00EA444B">
        <w:t>ivision consists of two parts</w:t>
      </w:r>
      <w:r w:rsidR="005A13CC" w:rsidRPr="00EA444B">
        <w:t>:</w:t>
      </w:r>
      <w:r w:rsidRPr="00EA444B">
        <w:t xml:space="preserve"> Green Bank Mechanical Engineerin</w:t>
      </w:r>
      <w:r w:rsidR="005A13CC" w:rsidRPr="00EA444B">
        <w:t>g</w:t>
      </w:r>
      <w:r w:rsidRPr="00EA444B">
        <w:t xml:space="preserve">, and the Green Bank Machine Shop. </w:t>
      </w:r>
    </w:p>
    <w:p w14:paraId="1AB92287" w14:textId="508C72DA" w:rsidR="00900075" w:rsidRPr="00EA444B" w:rsidRDefault="00900075" w:rsidP="00BE3952">
      <w:pPr>
        <w:pStyle w:val="Heading3"/>
      </w:pPr>
      <w:bookmarkStart w:id="390" w:name="_Toc535936214"/>
      <w:bookmarkStart w:id="391" w:name="_Toc337150"/>
      <w:r w:rsidRPr="00EA444B">
        <w:t>Green Bank Mechanical Engineering</w:t>
      </w:r>
      <w:bookmarkEnd w:id="390"/>
      <w:bookmarkEnd w:id="391"/>
    </w:p>
    <w:p w14:paraId="3AF75E01" w14:textId="11A428B8" w:rsidR="003D24CE" w:rsidRPr="00EA444B" w:rsidRDefault="00900075">
      <w:r w:rsidRPr="00EA444B">
        <w:t xml:space="preserve">Mechanical Engineering is responsible for the mechanical design of </w:t>
      </w:r>
      <w:r w:rsidR="00D26DFE" w:rsidRPr="00EA444B">
        <w:t xml:space="preserve">all </w:t>
      </w:r>
      <w:r w:rsidRPr="00EA444B">
        <w:t xml:space="preserve">new equipment on the Green Bank </w:t>
      </w:r>
      <w:r w:rsidR="0007579C" w:rsidRPr="00EA444B">
        <w:t>s</w:t>
      </w:r>
      <w:r w:rsidRPr="00EA444B">
        <w:t>ite and improving the life and function of existing equipment. The Division’s mechanical engineer is involved with failure analysis, process improvement</w:t>
      </w:r>
      <w:r w:rsidR="00A43C6C" w:rsidRPr="00EA444B">
        <w:t>,</w:t>
      </w:r>
      <w:r w:rsidRPr="00EA444B">
        <w:t xml:space="preserve"> and implementation.</w:t>
      </w:r>
      <w:r w:rsidR="003D24CE" w:rsidRPr="00EA444B">
        <w:t xml:space="preserve"> </w:t>
      </w:r>
    </w:p>
    <w:p w14:paraId="18029AEC" w14:textId="006206D2" w:rsidR="00DE6DD0" w:rsidRPr="00EA444B" w:rsidRDefault="00DE6DD0" w:rsidP="00BE3952">
      <w:pPr>
        <w:pStyle w:val="Heading3"/>
      </w:pPr>
      <w:bookmarkStart w:id="392" w:name="_Toc535936215"/>
      <w:bookmarkStart w:id="393" w:name="_Toc337151"/>
      <w:r w:rsidRPr="00EA444B">
        <w:lastRenderedPageBreak/>
        <w:t>Green Bank Machine Shop</w:t>
      </w:r>
      <w:bookmarkEnd w:id="392"/>
      <w:bookmarkEnd w:id="393"/>
    </w:p>
    <w:p w14:paraId="59D98913" w14:textId="5DF02612" w:rsidR="00CD2DF1" w:rsidRPr="00D93354" w:rsidRDefault="00900075">
      <w:r w:rsidRPr="00EA444B">
        <w:t>The Green Bank Machine Shop</w:t>
      </w:r>
      <w:r w:rsidR="00CD2DF1">
        <w:t>’s</w:t>
      </w:r>
      <w:r w:rsidRPr="00EA444B">
        <w:t xml:space="preserve"> </w:t>
      </w:r>
      <w:r w:rsidR="005A13CC" w:rsidRPr="00EA444B">
        <w:t xml:space="preserve">(the “Shop”) </w:t>
      </w:r>
      <w:r w:rsidR="00CD2DF1" w:rsidRPr="00D93354">
        <w:t xml:space="preserve">rapid repair capabilities maximize observation time and compress development schedules for Observatory instruments. Without the Shop, the cost of machining many of Green Bank’s specialty parts would increase and there would be significant challenges in finding outside companies who could prioritize our work at the level necessary to keep the site telescopes operational. It would also be difficult to find an affordable organization with the expertise necessary to build the precision and unique parts required by </w:t>
      </w:r>
      <w:r w:rsidR="008653C3">
        <w:t>GBO</w:t>
      </w:r>
      <w:r w:rsidR="00CD2DF1" w:rsidRPr="00D93354">
        <w:t>. The onsite Shop is able to participate in an iterative design/build/analysis development routine that is much more cost effective than a series of formal outsourced fabrications to a commercial facility.</w:t>
      </w:r>
    </w:p>
    <w:p w14:paraId="243CE30A" w14:textId="3D16F2C3" w:rsidR="00CD2DF1" w:rsidRPr="00EA444B" w:rsidRDefault="00CD2DF1">
      <w:r w:rsidRPr="00EA444B">
        <w:t xml:space="preserve">When mechanical work for </w:t>
      </w:r>
      <w:r w:rsidR="008653C3">
        <w:t>GBO</w:t>
      </w:r>
      <w:r w:rsidRPr="00EA444B">
        <w:t xml:space="preserve"> and other AUI observatories allows, the Shop reaches out into the local industry for short-term shop and fabrication work.</w:t>
      </w:r>
    </w:p>
    <w:p w14:paraId="103827A7" w14:textId="77777777" w:rsidR="000B0052" w:rsidRPr="00EA444B" w:rsidRDefault="0005278C">
      <w:r w:rsidRPr="00EA444B">
        <w:t xml:space="preserve">The </w:t>
      </w:r>
      <w:r w:rsidR="005A13CC" w:rsidRPr="00EA444B">
        <w:t>S</w:t>
      </w:r>
      <w:r w:rsidRPr="00EA444B">
        <w:t>hop has capabilities for machining both very large and very small parts and assemblies, from amplifier bodies and feed horns to large actuators and other equipment for the site instruments and facilities</w:t>
      </w:r>
      <w:r w:rsidR="00784DD3" w:rsidRPr="00EA444B">
        <w:t>.</w:t>
      </w:r>
      <w:r w:rsidRPr="00EA444B">
        <w:t xml:space="preserve"> </w:t>
      </w:r>
      <w:r w:rsidR="000B0052" w:rsidRPr="00EA444B">
        <w:t>In addition to several manual milling machines, the shop also has two conversational mills, similar to CNC mills, which can quickly be used to program a tool path in a complex pattern, especially useful for O-ring and seal grooves.</w:t>
      </w:r>
    </w:p>
    <w:p w14:paraId="728E1607" w14:textId="2EDA1E21" w:rsidR="0005278C" w:rsidRPr="00EA444B" w:rsidRDefault="0005278C">
      <w:r w:rsidRPr="00EA444B">
        <w:t xml:space="preserve">The fabrication area has a plate roller, a shear, a metal </w:t>
      </w:r>
      <w:r w:rsidR="000876E3" w:rsidRPr="00EA444B">
        <w:t>brake</w:t>
      </w:r>
      <w:r w:rsidRPr="00EA444B">
        <w:t xml:space="preserve">, and an ironworker often used </w:t>
      </w:r>
      <w:r w:rsidR="00820034">
        <w:t>for fabricating RFI boxes. W</w:t>
      </w:r>
      <w:r w:rsidRPr="00EA444B">
        <w:t>elding shop</w:t>
      </w:r>
      <w:r w:rsidR="00820034">
        <w:t xml:space="preserve"> staff are</w:t>
      </w:r>
      <w:r w:rsidRPr="00EA444B">
        <w:t xml:space="preserve"> skilled at TIG, MIG, and stick welding</w:t>
      </w:r>
      <w:r w:rsidR="00784DD3" w:rsidRPr="00EA444B">
        <w:t>,</w:t>
      </w:r>
      <w:r w:rsidRPr="00EA444B">
        <w:t xml:space="preserve"> and regularly weld aluminum, stainless steel, and steel. For complex shapes</w:t>
      </w:r>
      <w:r w:rsidR="00784DD3" w:rsidRPr="00EA444B">
        <w:t>,</w:t>
      </w:r>
      <w:r w:rsidRPr="00EA444B">
        <w:t xml:space="preserve"> </w:t>
      </w:r>
      <w:r w:rsidR="003A597A" w:rsidRPr="00EA444B">
        <w:t>the Shop</w:t>
      </w:r>
      <w:r w:rsidRPr="00EA444B">
        <w:t xml:space="preserve"> ha</w:t>
      </w:r>
      <w:r w:rsidR="003A597A" w:rsidRPr="00EA444B">
        <w:t>s</w:t>
      </w:r>
      <w:r w:rsidRPr="00EA444B">
        <w:t xml:space="preserve"> a CNC plasma cutting table that can cut out shapes in stainless steel, aluminum, or steel.</w:t>
      </w:r>
    </w:p>
    <w:p w14:paraId="56F6B112" w14:textId="383B8462" w:rsidR="00D26DFE" w:rsidRPr="00EA444B" w:rsidRDefault="00D26DFE" w:rsidP="00BE3952">
      <w:pPr>
        <w:pStyle w:val="Heading3"/>
      </w:pPr>
      <w:bookmarkStart w:id="394" w:name="_Toc535924704"/>
      <w:bookmarkStart w:id="395" w:name="_Toc535924860"/>
      <w:bookmarkStart w:id="396" w:name="_Toc535925827"/>
      <w:bookmarkStart w:id="397" w:name="_Toc535931462"/>
      <w:bookmarkStart w:id="398" w:name="_Toc535932387"/>
      <w:bookmarkStart w:id="399" w:name="_Toc535932683"/>
      <w:bookmarkStart w:id="400" w:name="_Toc535936120"/>
      <w:bookmarkStart w:id="401" w:name="_Toc535936286"/>
      <w:bookmarkStart w:id="402" w:name="_Toc535936217"/>
      <w:bookmarkStart w:id="403" w:name="_Toc535936549"/>
      <w:bookmarkStart w:id="404" w:name="_Toc536007109"/>
      <w:bookmarkStart w:id="405" w:name="_Toc536007499"/>
      <w:bookmarkStart w:id="406" w:name="_Toc536007889"/>
      <w:bookmarkStart w:id="407" w:name="_Toc535936219"/>
      <w:bookmarkStart w:id="408" w:name="_Toc337152"/>
      <w:bookmarkEnd w:id="394"/>
      <w:bookmarkEnd w:id="395"/>
      <w:bookmarkEnd w:id="396"/>
      <w:bookmarkEnd w:id="397"/>
      <w:bookmarkEnd w:id="398"/>
      <w:bookmarkEnd w:id="399"/>
      <w:bookmarkEnd w:id="400"/>
      <w:bookmarkEnd w:id="401"/>
      <w:bookmarkEnd w:id="402"/>
      <w:bookmarkEnd w:id="403"/>
      <w:bookmarkEnd w:id="404"/>
      <w:bookmarkEnd w:id="405"/>
      <w:bookmarkEnd w:id="406"/>
      <w:r w:rsidRPr="00EA444B">
        <w:t>New Instrument Initiatives and Collaborations</w:t>
      </w:r>
      <w:bookmarkEnd w:id="407"/>
      <w:bookmarkEnd w:id="408"/>
    </w:p>
    <w:p w14:paraId="78774186" w14:textId="4988DEAB" w:rsidR="00233DB2" w:rsidRPr="00EA444B" w:rsidRDefault="00233DB2">
      <w:r w:rsidRPr="00EA444B">
        <w:t>When working with new initiatives</w:t>
      </w:r>
      <w:r w:rsidR="00784DD3" w:rsidRPr="00EA444B">
        <w:t>,</w:t>
      </w:r>
      <w:r w:rsidRPr="00EA444B">
        <w:t xml:space="preserve"> the Mechanical </w:t>
      </w:r>
      <w:r w:rsidR="00FF4987">
        <w:t>division</w:t>
      </w:r>
      <w:r w:rsidRPr="00EA444B">
        <w:t xml:space="preserve"> plays an integral part by designing and fabricating packaging and mounting, as well</w:t>
      </w:r>
      <w:r w:rsidR="00784DD3" w:rsidRPr="00EA444B">
        <w:t xml:space="preserve"> as</w:t>
      </w:r>
      <w:r w:rsidRPr="00EA444B">
        <w:t xml:space="preserve"> designing mechanically active elements.  Environmental, RFI, </w:t>
      </w:r>
      <w:r w:rsidR="00D93354">
        <w:t>r</w:t>
      </w:r>
      <w:r w:rsidRPr="00EA444B">
        <w:t xml:space="preserve">igidity, and </w:t>
      </w:r>
      <w:r w:rsidR="00D93354">
        <w:t>p</w:t>
      </w:r>
      <w:r w:rsidRPr="00EA444B">
        <w:t xml:space="preserve">recision are all factors that demand attention when transitioning an instrument from the lab to the telescope. The design and fabrication of active elements such as the </w:t>
      </w:r>
      <w:r w:rsidR="000B0052">
        <w:t>LASSI laser scanner</w:t>
      </w:r>
      <w:r w:rsidRPr="00EA444B">
        <w:t xml:space="preserve"> allow for greater flexibility and performance of instruments when installed on the GBT. Experience with these elements combined with knowledge of materials and fabrication allow the Mechanical </w:t>
      </w:r>
      <w:r w:rsidR="00FF4987">
        <w:t>division</w:t>
      </w:r>
      <w:r w:rsidRPr="00EA444B">
        <w:t xml:space="preserve"> to provide stable and reliable platforms for new instrumentation. </w:t>
      </w:r>
    </w:p>
    <w:p w14:paraId="12199F3A" w14:textId="7EDC079A" w:rsidR="00233DB2" w:rsidRPr="00EA444B" w:rsidRDefault="00233DB2">
      <w:r w:rsidRPr="00EA444B">
        <w:t>When an instrument</w:t>
      </w:r>
      <w:r w:rsidR="0082224F" w:rsidRPr="00EA444B">
        <w:t>’</w:t>
      </w:r>
      <w:r w:rsidRPr="00EA444B">
        <w:t xml:space="preserve">s component has high precision requirements and challenging geometry such as the </w:t>
      </w:r>
      <w:r w:rsidR="00FF4987" w:rsidRPr="00EA444B">
        <w:t>Ultra-Wideband Receiver</w:t>
      </w:r>
      <w:r w:rsidRPr="00EA444B">
        <w:t xml:space="preserve">, the Mechanical </w:t>
      </w:r>
      <w:r w:rsidR="00FF4987">
        <w:t>division</w:t>
      </w:r>
      <w:r w:rsidRPr="00EA444B">
        <w:t xml:space="preserve"> uses its knowledge and experience to find a way to fabricate these parts. The </w:t>
      </w:r>
      <w:r w:rsidR="00FE6B45" w:rsidRPr="00EA444B">
        <w:t>ultra-wideband receiver</w:t>
      </w:r>
      <w:r w:rsidRPr="00EA444B">
        <w:t xml:space="preserve">’s size and complex geometry will require special handling typical of the </w:t>
      </w:r>
      <w:r w:rsidR="00081714" w:rsidRPr="00EA444B">
        <w:t>S</w:t>
      </w:r>
      <w:r w:rsidRPr="00EA444B">
        <w:t>hop to achieve the precision required</w:t>
      </w:r>
      <w:r w:rsidR="00FE6B45" w:rsidRPr="00EA444B">
        <w:t xml:space="preserve">. </w:t>
      </w:r>
      <w:r w:rsidRPr="00EA444B">
        <w:t xml:space="preserve">The </w:t>
      </w:r>
      <w:r w:rsidR="0007579C" w:rsidRPr="00EA444B">
        <w:t>S</w:t>
      </w:r>
      <w:r w:rsidRPr="00EA444B">
        <w:t xml:space="preserve">hop’s initial efforts to fabricate a proof of concept of an </w:t>
      </w:r>
      <w:r w:rsidR="001E7AD7" w:rsidRPr="00EA444B">
        <w:t>ng</w:t>
      </w:r>
      <w:r w:rsidRPr="00EA444B">
        <w:t xml:space="preserve">VLA feed have also proven successful </w:t>
      </w:r>
      <w:r w:rsidR="00860ADC" w:rsidRPr="00EA444B">
        <w:t xml:space="preserve">and will </w:t>
      </w:r>
      <w:r w:rsidRPr="00EA444B">
        <w:t>likely require further effort.</w:t>
      </w:r>
    </w:p>
    <w:p w14:paraId="0878350A" w14:textId="158C178E" w:rsidR="00B847D9" w:rsidRDefault="00233DB2">
      <w:pPr>
        <w:rPr>
          <w:spacing w:val="-6"/>
        </w:rPr>
      </w:pPr>
      <w:r w:rsidRPr="00EA444B">
        <w:t xml:space="preserve">When operations or a new instrument call for new techniques such as subreflector nodding via the actuators, the Mechanical </w:t>
      </w:r>
      <w:r w:rsidR="00FF4987">
        <w:t>division</w:t>
      </w:r>
      <w:r w:rsidRPr="00EA444B">
        <w:t xml:space="preserve"> is called upon to investigate the equipment capabilities and repercussions such as wear or reliability. When there is a need to improve mechanical performance, such as the receiver turret, the Mechanical </w:t>
      </w:r>
      <w:r w:rsidR="00FF4987">
        <w:t>division</w:t>
      </w:r>
      <w:r w:rsidRPr="00EA444B">
        <w:t xml:space="preserve"> is called upon to design and fabricate the components. Potential large projects such as a GBT radar will require this type </w:t>
      </w:r>
      <w:r w:rsidR="001E7AD7" w:rsidRPr="00EA444B">
        <w:t xml:space="preserve">of </w:t>
      </w:r>
      <w:r w:rsidRPr="00EA444B">
        <w:rPr>
          <w:spacing w:val="-6"/>
        </w:rPr>
        <w:t>extensive design and fabrication and will include load bearing, cooling, and active mechanical elements.</w:t>
      </w:r>
    </w:p>
    <w:p w14:paraId="364948FF" w14:textId="59D58759" w:rsidR="000B0052" w:rsidRDefault="000B0052">
      <w:r>
        <w:lastRenderedPageBreak/>
        <w:t xml:space="preserve">As the Mechanical division is a service group to other divisions and projects, its milestones are captured in the project plans and reports of other </w:t>
      </w:r>
      <w:r w:rsidR="008653C3">
        <w:t xml:space="preserve">GBO </w:t>
      </w:r>
      <w:r>
        <w:t>divisions.</w:t>
      </w:r>
    </w:p>
    <w:p w14:paraId="37B41C9E" w14:textId="0FC4CA7D" w:rsidR="009A54E9" w:rsidRDefault="009A54E9">
      <w:pPr>
        <w:spacing w:after="0" w:line="240" w:lineRule="auto"/>
        <w:jc w:val="left"/>
      </w:pPr>
      <w:r>
        <w:br w:type="page"/>
      </w:r>
    </w:p>
    <w:p w14:paraId="423926E3" w14:textId="77777777" w:rsidR="00DF7AC1" w:rsidRPr="00EA444B" w:rsidRDefault="00DF7AC1" w:rsidP="00BE3952">
      <w:pPr>
        <w:pStyle w:val="Heading3"/>
      </w:pPr>
      <w:bookmarkStart w:id="409" w:name="_Toc536160903"/>
      <w:bookmarkStart w:id="410" w:name="_Toc337155"/>
      <w:r w:rsidRPr="00EA444B">
        <w:lastRenderedPageBreak/>
        <w:t>Environment</w:t>
      </w:r>
      <w:bookmarkEnd w:id="409"/>
      <w:bookmarkEnd w:id="410"/>
    </w:p>
    <w:p w14:paraId="2595A783" w14:textId="77777777" w:rsidR="00DF7AC1" w:rsidRPr="00BE3952" w:rsidRDefault="00DF7AC1">
      <w:pPr>
        <w:rPr>
          <w:spacing w:val="-2"/>
        </w:rPr>
      </w:pPr>
      <w:r w:rsidRPr="00BE3952">
        <w:rPr>
          <w:spacing w:val="-2"/>
        </w:rPr>
        <w:t>SDD simultaneously supports new development and ongoing operations. To accomplish this with minimal staff, SDD identifies development methodologies that best support a given project and team, makes effective use of automation, and carefully balances custom code development with open source solution integration.</w:t>
      </w:r>
    </w:p>
    <w:p w14:paraId="79480648" w14:textId="42CF399E" w:rsidR="00DF7AC1" w:rsidRPr="00191AAA" w:rsidRDefault="00DF7AC1">
      <w:r w:rsidRPr="00191AAA">
        <w:t xml:space="preserve">For routine updates to existing systems, the division uses workflow management methodologies that encompass standard Software Development Life Cycle best practices. For unfamiliar problem domains or projects involving new technology, SDD favors an agile approach (e.g., Scrum). Both approaches work effectively with </w:t>
      </w:r>
      <w:r w:rsidR="008653C3">
        <w:t>GBO</w:t>
      </w:r>
      <w:r w:rsidRPr="00191AAA">
        <w:t>’s program management and NSF’s Major Facilities Guide processes.</w:t>
      </w:r>
    </w:p>
    <w:p w14:paraId="5B25F31D" w14:textId="77777777" w:rsidR="00DF7AC1" w:rsidRPr="00EA444B" w:rsidRDefault="00DF7AC1">
      <w:r w:rsidRPr="00191AAA">
        <w:t>SDD uses git repositories for software revision control and utilizes open source tools to automate system builds and unit/integration testing. This results in rapid detection and resolution of problems. Most of the code base for the GBT is written in C++ and Python and the division makes extensive use of open source libraries and development tools. When open source tools are not available or prove difficult to tailor to system requirements, the division writes custom applications or frameworks to support GBT science. As a recent example, SDD developed the Matrix framework, a dataflow application framework designed to support high performance computing applications.</w:t>
      </w:r>
    </w:p>
    <w:p w14:paraId="3D51FA86" w14:textId="77777777" w:rsidR="00DF7AC1" w:rsidRDefault="00DF7AC1" w:rsidP="00BE3952">
      <w:pPr>
        <w:pStyle w:val="Heading3"/>
      </w:pPr>
      <w:r w:rsidRPr="00575A46">
        <w:t>SDD Operational Support</w:t>
      </w:r>
      <w:r>
        <w:t xml:space="preserve"> </w:t>
      </w:r>
    </w:p>
    <w:p w14:paraId="59EC7C38" w14:textId="2D167A9D" w:rsidR="00DF7AC1" w:rsidRPr="00AE129F" w:rsidRDefault="00DF7AC1">
      <w:r w:rsidRPr="00AE129F">
        <w:t xml:space="preserve">As its highest priority, SDD provides ongoing operational support for existing systems to ensure essential systems remain functional. This includes responding to urgent requests to restore operational status and resolving critical (“show-stopper”) issues as quickly as possible. Repairs, enhancements, and new functionality to existing operational systems that are not identified as critical (i.e., are not show-stoppers to current operational use) are assigned for development based on </w:t>
      </w:r>
      <w:r w:rsidR="008653C3">
        <w:t>a GBO</w:t>
      </w:r>
      <w:r w:rsidRPr="00AE129F">
        <w:t xml:space="preserve">-wide prioritization and planning processes. Additionally, SDD refactors existing systems to stay up to date with evolving scientific requirements and software standards. </w:t>
      </w:r>
    </w:p>
    <w:p w14:paraId="606664A1" w14:textId="770A2B00" w:rsidR="00DF7AC1" w:rsidRDefault="00DF7AC1">
      <w:r w:rsidRPr="00AE129F">
        <w:t xml:space="preserve">Critical and high priority updates to GBT monitor and control (M&amp;C) systems are thoroughly tested and deployed in patches. As opportunities arise for a full deployment of large infrastructure items and new features, these deployments are scheduled on an as-needed basis. </w:t>
      </w:r>
      <w:r w:rsidR="008653C3">
        <w:t xml:space="preserve">Prior to FY2021, </w:t>
      </w:r>
      <w:r w:rsidRPr="00AE129F">
        <w:t xml:space="preserve">M&amp;C releases were bundled into one, annual deployment. By planning for as-needed deployments, releases are better aligned with major project milestones and features can become available on a timelier basis. </w:t>
      </w:r>
    </w:p>
    <w:p w14:paraId="14A7D13E" w14:textId="22CA31B3" w:rsidR="00A65406" w:rsidRDefault="004A3FC8">
      <w:r>
        <w:t xml:space="preserve">In FY2021, the </w:t>
      </w:r>
      <w:r w:rsidR="005418AE">
        <w:t>s</w:t>
      </w:r>
      <w:r>
        <w:t>oftware team developed a General Telescope Monitoring System incorporating off-the-shelf technologies Prometheus and Grafana. The monitoring system provides information about the status and health of internal systems</w:t>
      </w:r>
      <w:r w:rsidR="001D0179">
        <w:t xml:space="preserve"> ranging from spectrometer GPU temperatures to items such as GBT servo monitors and maser </w:t>
      </w:r>
      <w:proofErr w:type="spellStart"/>
      <w:r w:rsidR="001D0179">
        <w:t>SiteTime</w:t>
      </w:r>
      <w:proofErr w:type="spellEnd"/>
      <w:r w:rsidR="001D0179">
        <w:t xml:space="preserve"> managers and samplers. </w:t>
      </w:r>
      <w:r w:rsidR="00F80FD6">
        <w:t>This tool</w:t>
      </w:r>
      <w:r>
        <w:t xml:space="preserve"> assist</w:t>
      </w:r>
      <w:r w:rsidR="00F80FD6">
        <w:t>s</w:t>
      </w:r>
      <w:r>
        <w:t xml:space="preserve"> with operational monitoring and troubleshooting, and is designed to be easily expandable. In FY2022, the system will be</w:t>
      </w:r>
      <w:r w:rsidR="00451208">
        <w:t xml:space="preserve"> enhanced with prioritized feature requests from GBO staff</w:t>
      </w:r>
      <w:r w:rsidR="001A552B">
        <w:t xml:space="preserve"> with a release of enhanced features in Q3 FY2022.</w:t>
      </w:r>
      <w:r w:rsidR="008653C3">
        <w:t xml:space="preserve"> </w:t>
      </w:r>
      <w:r w:rsidR="00A65406">
        <w:t xml:space="preserve">Knowledge transfer </w:t>
      </w:r>
      <w:r w:rsidR="008653C3">
        <w:t xml:space="preserve">and documentation </w:t>
      </w:r>
      <w:r w:rsidR="00A65406">
        <w:t xml:space="preserve">will be an emphasis for the SDD team in FY2022 </w:t>
      </w:r>
      <w:r w:rsidR="008653C3">
        <w:t xml:space="preserve">and FY2023 </w:t>
      </w:r>
      <w:r w:rsidR="00A65406">
        <w:t>as key current experts approach planned retirement</w:t>
      </w:r>
      <w:r w:rsidR="000D0921">
        <w:t>s</w:t>
      </w:r>
      <w:r w:rsidR="00A65406">
        <w:t>.</w:t>
      </w:r>
      <w:r w:rsidR="00862F1A">
        <w:t xml:space="preserve"> This effort will focus on</w:t>
      </w:r>
      <w:r w:rsidR="006454C8">
        <w:t xml:space="preserve"> video-taped team presentations as well as the development of documentation for </w:t>
      </w:r>
      <w:r w:rsidR="008653C3">
        <w:t>critical</w:t>
      </w:r>
      <w:r w:rsidR="006454C8">
        <w:t xml:space="preserve"> areas of software expertise. </w:t>
      </w:r>
    </w:p>
    <w:p w14:paraId="41E158F9" w14:textId="046B5EA6" w:rsidR="000A1559" w:rsidRDefault="000A1559"/>
    <w:p w14:paraId="261AB822" w14:textId="77777777" w:rsidR="00BE3952" w:rsidRPr="00AE129F" w:rsidRDefault="00BE3952"/>
    <w:p w14:paraId="16D180E9" w14:textId="77777777" w:rsidR="00DF7AC1" w:rsidRDefault="00DF7AC1" w:rsidP="00BE3952">
      <w:pPr>
        <w:pStyle w:val="Heading3"/>
      </w:pPr>
      <w:r w:rsidRPr="00575A46">
        <w:lastRenderedPageBreak/>
        <w:t>Current and Planned New Development</w:t>
      </w:r>
    </w:p>
    <w:p w14:paraId="4F028C97" w14:textId="4ABB4D12" w:rsidR="00A65406" w:rsidRDefault="00DF7AC1">
      <w:r w:rsidRPr="00AE129F">
        <w:t xml:space="preserve">In addition to its operational support responsibilities, SDD undertakes new development and project work based on defined grant-funded milestones and </w:t>
      </w:r>
      <w:r w:rsidR="008653C3">
        <w:t>GBO</w:t>
      </w:r>
      <w:r w:rsidR="008653C3" w:rsidRPr="00AE129F">
        <w:t xml:space="preserve"> </w:t>
      </w:r>
      <w:r w:rsidRPr="00AE129F">
        <w:t xml:space="preserve">directed priorities. </w:t>
      </w:r>
      <w:r w:rsidR="00A65406">
        <w:t>As noted in the previous section, i</w:t>
      </w:r>
      <w:r w:rsidRPr="00AE129F">
        <w:t xml:space="preserve">t is vital that </w:t>
      </w:r>
      <w:r w:rsidR="008653C3">
        <w:t>GBO</w:t>
      </w:r>
      <w:r w:rsidR="008653C3" w:rsidRPr="00AE129F">
        <w:t xml:space="preserve"> </w:t>
      </w:r>
      <w:proofErr w:type="gramStart"/>
      <w:r w:rsidRPr="00AE129F">
        <w:t>staffs</w:t>
      </w:r>
      <w:proofErr w:type="gramEnd"/>
      <w:r w:rsidRPr="00AE129F">
        <w:t xml:space="preserve"> new projects with a combination of expert, mid-career, and early-career developers for knowledge transfer, so essential subsystems can be maintained and extended as current experts near retirement. This approach </w:t>
      </w:r>
      <w:r w:rsidR="00A65406">
        <w:t>will</w:t>
      </w:r>
      <w:r w:rsidR="00A65406" w:rsidRPr="00AE129F">
        <w:t xml:space="preserve"> </w:t>
      </w:r>
      <w:r w:rsidRPr="00AE129F">
        <w:t>require minimal overstaffing of each of the projects so there is a pool of staff that will remain robust in the face of normal staffing turnover.</w:t>
      </w:r>
    </w:p>
    <w:p w14:paraId="2FBA1F73" w14:textId="77777777" w:rsidR="00DF7AC1" w:rsidRPr="00AE129F" w:rsidRDefault="00DF7AC1" w:rsidP="00BE3952">
      <w:pPr>
        <w:pStyle w:val="Heading3"/>
      </w:pPr>
      <w:bookmarkStart w:id="411" w:name="_Toc536160905"/>
      <w:bookmarkStart w:id="412" w:name="_Toc337157"/>
      <w:r w:rsidRPr="00AE129F">
        <w:t>New Instrument Initiatives and Collaborations</w:t>
      </w:r>
      <w:bookmarkEnd w:id="411"/>
      <w:bookmarkEnd w:id="412"/>
    </w:p>
    <w:p w14:paraId="125543F0" w14:textId="60445B6C" w:rsidR="00DF7AC1" w:rsidRPr="00EA444B" w:rsidRDefault="00DF7AC1">
      <w:r w:rsidRPr="00EA444B">
        <w:t xml:space="preserve">The core monitor and control system utilize an object-oriented design which permits developers to extend the system in a straight-forward way to accommodate new GBT instruments. In addition, the core system interacts with other sub-systems comprising the observing and data reduction interfaces in a way that results in high cohesion and low coupling. Consequently, the Software division staff can support a wide spectrum of collaborator goals and capabilities. For instruments not intended for wide community use, collaborators may simply interface with a database that provides minimal GBT status information to support their observing. This approach is ideal for path finding or rapid prototyping instrument projects. </w:t>
      </w:r>
    </w:p>
    <w:p w14:paraId="6C1C1AC3" w14:textId="5365E8D3" w:rsidR="00DF7AC1" w:rsidRDefault="00DF7AC1">
      <w:r w:rsidRPr="00EA444B">
        <w:t xml:space="preserve">At the other end of the spectrum, SDD maintains a checklist of about a dozen subsystems that can be updated to fully integrate instruments into the GBT system. This approach is desirable for instruments expected to be used by the general radio astronomy community. Full integration results in better monitor and control by </w:t>
      </w:r>
      <w:r w:rsidR="008653C3">
        <w:t>GBO</w:t>
      </w:r>
      <w:r w:rsidR="008653C3" w:rsidRPr="00EA444B">
        <w:t xml:space="preserve"> </w:t>
      </w:r>
      <w:r w:rsidRPr="00EA444B">
        <w:t>staff, instrument access via the standard observing interfaces, and inclusion in the data analysis and reduction applications.</w:t>
      </w:r>
    </w:p>
    <w:p w14:paraId="72A2C7E1" w14:textId="57C69479" w:rsidR="00CD573F" w:rsidRDefault="00AD7B4F" w:rsidP="00BE3952">
      <w:pPr>
        <w:pStyle w:val="Heading2"/>
      </w:pPr>
      <w:bookmarkStart w:id="413" w:name="_Toc83886142"/>
      <w:r>
        <w:t>P</w:t>
      </w:r>
      <w:r w:rsidR="00CD573F">
        <w:t>lan</w:t>
      </w:r>
      <w:r>
        <w:t>t</w:t>
      </w:r>
      <w:r w:rsidR="00CD573F">
        <w:t xml:space="preserve"> Maintenance</w:t>
      </w:r>
      <w:bookmarkEnd w:id="413"/>
    </w:p>
    <w:p w14:paraId="723C669A" w14:textId="4DA57160" w:rsidR="00385A98" w:rsidRDefault="00CD573F" w:rsidP="000E21B8">
      <w:r w:rsidRPr="00EA444B">
        <w:t xml:space="preserve">Responsibility for the </w:t>
      </w:r>
      <w:r>
        <w:t>infrastructure</w:t>
      </w:r>
      <w:r w:rsidRPr="00EA444B">
        <w:t xml:space="preserve"> of the site buildings, facilities, and site housing rests within this division. </w:t>
      </w:r>
      <w:r>
        <w:t xml:space="preserve">Plant Maintenance, working with Business, </w:t>
      </w:r>
      <w:r w:rsidRPr="00EA444B">
        <w:t>is</w:t>
      </w:r>
      <w:r>
        <w:t xml:space="preserve"> also</w:t>
      </w:r>
      <w:r w:rsidRPr="00EA444B">
        <w:t xml:space="preserve"> responsible for carrying out Green Bank’s commitment to sustainability, an NSF priority for its facilities. As such, the group works to find avenues of operation that reduce waste and cost to the facility. </w:t>
      </w:r>
      <w:bookmarkStart w:id="414" w:name="_Toc269611"/>
      <w:bookmarkStart w:id="415" w:name="_Toc332825"/>
      <w:bookmarkStart w:id="416" w:name="_Toc333003"/>
      <w:bookmarkStart w:id="417" w:name="_Toc336155"/>
      <w:bookmarkStart w:id="418" w:name="_Toc336336"/>
      <w:bookmarkStart w:id="419" w:name="_Toc336649"/>
      <w:bookmarkStart w:id="420" w:name="_Toc337163"/>
      <w:bookmarkStart w:id="421" w:name="_Toc337348"/>
      <w:bookmarkStart w:id="422" w:name="_Toc269612"/>
      <w:bookmarkStart w:id="423" w:name="_Toc332826"/>
      <w:bookmarkStart w:id="424" w:name="_Toc333004"/>
      <w:bookmarkStart w:id="425" w:name="_Toc336156"/>
      <w:bookmarkStart w:id="426" w:name="_Toc336337"/>
      <w:bookmarkStart w:id="427" w:name="_Toc336650"/>
      <w:bookmarkStart w:id="428" w:name="_Toc337164"/>
      <w:bookmarkStart w:id="429" w:name="_Toc337349"/>
      <w:bookmarkStart w:id="430" w:name="_Toc535936396"/>
      <w:bookmarkStart w:id="431" w:name="_Toc337165"/>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5871AAE6" w14:textId="1B6AFB6E" w:rsidR="00CD573F" w:rsidRPr="00EA444B" w:rsidRDefault="00CD573F" w:rsidP="00BE3952">
      <w:pPr>
        <w:pStyle w:val="Heading3"/>
      </w:pPr>
      <w:r w:rsidRPr="00EA444B">
        <w:t>Facilities Maintenance</w:t>
      </w:r>
      <w:bookmarkEnd w:id="430"/>
      <w:bookmarkEnd w:id="431"/>
    </w:p>
    <w:p w14:paraId="33BB3166" w14:textId="26E607DD" w:rsidR="00CD573F" w:rsidRDefault="00946154" w:rsidP="001812E3">
      <w:r>
        <w:t>GBO</w:t>
      </w:r>
      <w:r w:rsidRPr="00EA444B">
        <w:t xml:space="preserve"> </w:t>
      </w:r>
      <w:r w:rsidR="00CD573F" w:rsidRPr="00EA444B">
        <w:t>site buildings and grounds will continue to undergo routine annual inspection and maintenance. This includes annual road repair and winter plowing; roof repairs; heating and cooling systems maintenance; pest and weed control; servicing of sewer systems, water supply, backup generator power, HVAC systems, electrical lines, and related systems.</w:t>
      </w:r>
    </w:p>
    <w:p w14:paraId="3440ADC9" w14:textId="12CF45D0" w:rsidR="00CD573F" w:rsidRPr="00EA444B" w:rsidRDefault="00CD573F">
      <w:r w:rsidRPr="000E7828">
        <w:rPr>
          <w:b/>
        </w:rPr>
        <w:t>Road repair, maintenance, and plowing (as needed)</w:t>
      </w:r>
      <w:r w:rsidRPr="00EA444B">
        <w:t xml:space="preserve">: </w:t>
      </w:r>
      <w:r w:rsidRPr="000A1559">
        <w:rPr>
          <w:spacing w:val="-2"/>
        </w:rPr>
        <w:t xml:space="preserve">The Observatory owns and maintains all roads within its boundary, and is therefore responsible for repairing all damage and keeping the roads clear for proper use and, most importantly, for the passage of emergency vehicles when necessary. The maintenance group is responsible for plowing the roads of snow in the winter. Proper maintenance of the roads has kept them in outstanding shape over the course of the last 60 years with minimal outlay of funds for replacement. These activities are required to ensure </w:t>
      </w:r>
      <w:r w:rsidR="00946154" w:rsidRPr="000A1559">
        <w:rPr>
          <w:spacing w:val="-2"/>
        </w:rPr>
        <w:t>GBO</w:t>
      </w:r>
      <w:r w:rsidRPr="000A1559">
        <w:rPr>
          <w:spacing w:val="-2"/>
        </w:rPr>
        <w:t xml:space="preserve"> and the GBT remain in a current state of repair.</w:t>
      </w:r>
      <w:r w:rsidRPr="00EA444B">
        <w:t xml:space="preserve"> </w:t>
      </w:r>
    </w:p>
    <w:p w14:paraId="3057C6B2" w14:textId="4B0C57D1" w:rsidR="00CD573F" w:rsidRPr="00EA444B" w:rsidRDefault="00CD573F">
      <w:r w:rsidRPr="000E7828">
        <w:rPr>
          <w:b/>
        </w:rPr>
        <w:t>Vehicle Support</w:t>
      </w:r>
      <w:r w:rsidRPr="00EA444B">
        <w:t xml:space="preserve">: </w:t>
      </w:r>
      <w:r w:rsidR="00946154">
        <w:t>GBO</w:t>
      </w:r>
      <w:r w:rsidRPr="000E7828">
        <w:t xml:space="preserve"> maintains a passenger vehicle fleet of approximately 46 vehicles ranging in age from new to 50 years old, and a roster of approximately 39 pieces of heavy equipment. These vehicles </w:t>
      </w:r>
      <w:r w:rsidRPr="000E7828">
        <w:lastRenderedPageBreak/>
        <w:t xml:space="preserve">are mostly diesel engine powered, a necessity due to the more radio-quiet nature of diesel engines (no spark plugs) versus gasoline engines for astronomical observation purposes. The passenger-style vehicles range from four passenger cars to multi-passenger utility vehicles to heavy duty pickups and are utilized for various excursions to the telescopes, hauling equipment to the telescopes or various locations on site, and transportation of materials and supplies off-site to various businesses and </w:t>
      </w:r>
      <w:r w:rsidR="00946154">
        <w:t>GBO</w:t>
      </w:r>
      <w:r w:rsidRPr="000E7828">
        <w:t xml:space="preserve"> rental properties for maintenance needs. The heavy equipment inventory includes loaders, bulldozers, tractors, mowers, generators, and aerial lift platforms, all utilized for the maintenance and operation of the site and facilities. These vehicles are mostly NSF-owned and, therefore, are maintained with NSF license plates and reported through the FAST vehicle system. Additional vehicles are leased through GSA and reported through that system. It is anticipated that the current fleet of NSF-owned vehicles will be transferred to the managing organization as recipient-owned within the FY2022–2026 time frame.</w:t>
      </w:r>
    </w:p>
    <w:p w14:paraId="326E69DD" w14:textId="5450063E" w:rsidR="00CD573F" w:rsidRPr="00EA444B" w:rsidRDefault="00CD573F">
      <w:r w:rsidRPr="00EA444B">
        <w:t xml:space="preserve">All vehicles and equipment meeting the necessary requirements are maintained within </w:t>
      </w:r>
      <w:r w:rsidR="007833DF">
        <w:t>GBO’s</w:t>
      </w:r>
      <w:r w:rsidRPr="00EA444B">
        <w:t xml:space="preserve"> inventory control system as government-owned property, and a strict maintenance schedule is utilized to ensure proper and safe operation.</w:t>
      </w:r>
    </w:p>
    <w:p w14:paraId="50E01CE6" w14:textId="493B2AB5" w:rsidR="00CD573F" w:rsidRPr="00EA444B" w:rsidRDefault="00CD573F">
      <w:r w:rsidRPr="000E7828">
        <w:rPr>
          <w:b/>
        </w:rPr>
        <w:t>Water Treatment Facility</w:t>
      </w:r>
      <w:r w:rsidRPr="00EA444B">
        <w:t xml:space="preserve">: </w:t>
      </w:r>
      <w:r w:rsidR="00946154" w:rsidRPr="007833DF">
        <w:rPr>
          <w:spacing w:val="-2"/>
        </w:rPr>
        <w:t>GBO</w:t>
      </w:r>
      <w:r w:rsidRPr="007833DF">
        <w:rPr>
          <w:spacing w:val="-2"/>
        </w:rPr>
        <w:t xml:space="preserve"> maintains its own water treatment facility for drinking water, as no municipal water service exists. This system, built almost 60 years ago, consists of two drilled wells, one elevated water tower and a distribution network to buildings and fire hydrants. Although this system for both potable water and fire suppression is solely for </w:t>
      </w:r>
      <w:r w:rsidR="00946154" w:rsidRPr="007833DF">
        <w:rPr>
          <w:spacing w:val="-2"/>
        </w:rPr>
        <w:t>GBO</w:t>
      </w:r>
      <w:r w:rsidRPr="007833DF">
        <w:rPr>
          <w:spacing w:val="-2"/>
        </w:rPr>
        <w:t xml:space="preserve">, it is regulated by the State of West Virginia as a standalone public water treatment facility. Daily measurements and sampling of </w:t>
      </w:r>
      <w:r w:rsidR="00946154" w:rsidRPr="007833DF">
        <w:rPr>
          <w:spacing w:val="-2"/>
        </w:rPr>
        <w:t>GBO’s</w:t>
      </w:r>
      <w:r w:rsidRPr="007833DF">
        <w:rPr>
          <w:spacing w:val="-2"/>
        </w:rPr>
        <w:t xml:space="preserve"> public drinking water system by employees certified in managing a public water treatment system are required. Maintenance includes required system drainage and structural and mechanical inspections of the water tank. </w:t>
      </w:r>
    </w:p>
    <w:p w14:paraId="40C186AF" w14:textId="5BE9BE59" w:rsidR="00CD573F" w:rsidRDefault="00CD573F">
      <w:r w:rsidRPr="000E7828">
        <w:rPr>
          <w:b/>
        </w:rPr>
        <w:t>Observatory Electrical System</w:t>
      </w:r>
      <w:r w:rsidRPr="00EA444B">
        <w:t xml:space="preserve">: </w:t>
      </w:r>
      <w:r w:rsidR="001C0921">
        <w:t xml:space="preserve">As described in </w:t>
      </w:r>
      <w:r w:rsidR="0084665E">
        <w:t>Section 8</w:t>
      </w:r>
      <w:r w:rsidR="00946154">
        <w:t>.7.1</w:t>
      </w:r>
      <w:r w:rsidR="001C0921">
        <w:t>, t</w:t>
      </w:r>
      <w:r w:rsidRPr="00EA444B">
        <w:t xml:space="preserve">he </w:t>
      </w:r>
      <w:r w:rsidR="00946154">
        <w:t>GBO</w:t>
      </w:r>
      <w:r w:rsidR="00946154" w:rsidRPr="00EA444B">
        <w:t xml:space="preserve"> </w:t>
      </w:r>
      <w:r w:rsidRPr="00EA444B">
        <w:t>electrical distribution infrastructure is in the midst of a multi-year significant upgrade for reliability and safety. The 4160V distribution lines, transformers and switch gears are in process of being replaced with priority work on the most critical sections.</w:t>
      </w:r>
      <w:r>
        <w:t xml:space="preserve"> Specifically, the </w:t>
      </w:r>
      <w:r w:rsidR="00700215">
        <w:t xml:space="preserve">Jansky </w:t>
      </w:r>
      <w:r w:rsidR="005A2341">
        <w:t xml:space="preserve">Laboratory </w:t>
      </w:r>
      <w:r w:rsidR="00700215">
        <w:t>and</w:t>
      </w:r>
      <w:r w:rsidR="005A2341">
        <w:t xml:space="preserve"> the</w:t>
      </w:r>
      <w:r w:rsidR="00700215">
        <w:t xml:space="preserve"> 40-Foot Telescope power feed cables will be replaced due to age and concern of reliability</w:t>
      </w:r>
      <w:r>
        <w:t xml:space="preserve">.  </w:t>
      </w:r>
    </w:p>
    <w:p w14:paraId="5B58CD53" w14:textId="4CA8C3A5" w:rsidR="00CD573F" w:rsidRDefault="00CD573F">
      <w:r w:rsidRPr="000E7828">
        <w:rPr>
          <w:b/>
        </w:rPr>
        <w:t>Fire Monitoring and Suppression</w:t>
      </w:r>
      <w:r w:rsidRPr="00EA444B">
        <w:t xml:space="preserve">: Fire monitoring and fire suppression systems are critical for asset protection and safety for </w:t>
      </w:r>
      <w:r w:rsidR="00946154">
        <w:t xml:space="preserve">GBO </w:t>
      </w:r>
      <w:r w:rsidRPr="00EA444B">
        <w:t xml:space="preserve">employees and visitors. Maintenance will be continued in order to maintain or restore current systems to modern standards.  </w:t>
      </w:r>
    </w:p>
    <w:p w14:paraId="4FE7BA2A" w14:textId="77777777" w:rsidR="00EF66A6" w:rsidRPr="00EA444B" w:rsidRDefault="00EF66A6" w:rsidP="00EF66A6">
      <w:pPr>
        <w:pStyle w:val="Heading2"/>
      </w:pPr>
      <w:bookmarkStart w:id="432" w:name="_Toc83886120"/>
      <w:r w:rsidRPr="00EA444B">
        <w:t>Observatory Assets</w:t>
      </w:r>
      <w:bookmarkEnd w:id="432"/>
    </w:p>
    <w:p w14:paraId="07DDC99C" w14:textId="77777777" w:rsidR="00EF66A6" w:rsidRPr="00EA444B" w:rsidRDefault="00EF66A6" w:rsidP="00EF66A6">
      <w:r w:rsidRPr="00EA444B">
        <w:t xml:space="preserve">The following are key site assets at </w:t>
      </w:r>
      <w:r>
        <w:t>GBO</w:t>
      </w:r>
      <w:r w:rsidRPr="00EA444B">
        <w:t xml:space="preserve"> that support its science and broader impacts activities. </w:t>
      </w:r>
    </w:p>
    <w:p w14:paraId="628C1746" w14:textId="77777777" w:rsidR="00EF66A6" w:rsidRPr="00EA444B" w:rsidRDefault="00EF66A6" w:rsidP="00EF66A6">
      <w:pPr>
        <w:pStyle w:val="Heading3"/>
      </w:pPr>
      <w:r w:rsidRPr="00EA444B">
        <w:t>Green Bank Science Center</w:t>
      </w:r>
    </w:p>
    <w:p w14:paraId="3365BBB6" w14:textId="77777777" w:rsidR="00EF66A6" w:rsidRPr="00EA444B" w:rsidRDefault="00EF66A6" w:rsidP="00EF66A6">
      <w:r w:rsidRPr="00EA444B">
        <w:t>The Erma Byrd Science Center is a multi-purpose building that draws 45,000 visitors each year</w:t>
      </w:r>
      <w:r>
        <w:rPr>
          <w:rStyle w:val="FootnoteReference"/>
        </w:rPr>
        <w:footnoteReference w:id="2"/>
      </w:r>
      <w:r w:rsidRPr="00EA444B">
        <w:t xml:space="preserve">. A 4,000 square foot exhibit hall includes interactive displays. In addition to the exhibit hall, gift shop, and café, the </w:t>
      </w:r>
      <w:r w:rsidRPr="00EA444B">
        <w:lastRenderedPageBreak/>
        <w:t xml:space="preserve">Science Center hosts a 120-person auditorium, three separate classrooms, a computer lab, a large open basement space for project work, and the offices of the science center staff. </w:t>
      </w:r>
    </w:p>
    <w:p w14:paraId="60DF0271" w14:textId="77777777" w:rsidR="00EF66A6" w:rsidRPr="00EA444B" w:rsidRDefault="00EF66A6" w:rsidP="00EF66A6">
      <w:pPr>
        <w:pStyle w:val="Heading3"/>
      </w:pPr>
      <w:bookmarkStart w:id="433" w:name="_Toc2003292"/>
      <w:r w:rsidRPr="00EA444B">
        <w:t>Housing and Food Services</w:t>
      </w:r>
      <w:bookmarkEnd w:id="433"/>
      <w:r w:rsidRPr="00EA444B">
        <w:t xml:space="preserve"> </w:t>
      </w:r>
    </w:p>
    <w:p w14:paraId="666D9445" w14:textId="77777777" w:rsidR="00EF66A6" w:rsidRPr="00EA444B" w:rsidRDefault="00EF66A6" w:rsidP="00EF66A6">
      <w:r w:rsidRPr="00EA444B">
        <w:t xml:space="preserve">The isolated location of </w:t>
      </w:r>
      <w:r>
        <w:t>GBO</w:t>
      </w:r>
      <w:r w:rsidRPr="00EA444B">
        <w:t xml:space="preserve"> and a highly limited choice of housing and dining facilities in the county requires </w:t>
      </w:r>
      <w:r>
        <w:t>GBO</w:t>
      </w:r>
      <w:r w:rsidRPr="00EA444B">
        <w:t xml:space="preserve">-provided facilities in order to support the science mission and visitor services. The </w:t>
      </w:r>
      <w:r>
        <w:t>GBO</w:t>
      </w:r>
      <w:r w:rsidRPr="00EA444B">
        <w:t xml:space="preserve"> maintains accommodation in the form of houses, apartments, a dormitory, hotel-style rooms, cafeteria, and a smaller café available during Science Center hours for staff, visitors, and the public. During </w:t>
      </w:r>
      <w:r>
        <w:t xml:space="preserve">typical </w:t>
      </w:r>
      <w:r w:rsidRPr="00EA444B">
        <w:t xml:space="preserve">summer months (June through September), </w:t>
      </w:r>
      <w:r>
        <w:t>GBO</w:t>
      </w:r>
      <w:r w:rsidRPr="00EA444B">
        <w:t xml:space="preserve"> housing frequently is 100% utilized by students and educational programs. </w:t>
      </w:r>
      <w:r>
        <w:t>GBO</w:t>
      </w:r>
      <w:r w:rsidRPr="00EA444B">
        <w:t xml:space="preserve"> is able to operate these facilities so that they are revenue-neutral and self-sustaining.</w:t>
      </w:r>
      <w:r>
        <w:t xml:space="preserve"> In FY2021, the residence hall dormitory, and café, were all closed for the year and the cafeteria ran only very limited service. The effects of COVID-19 on FY2022 are unclear, but it is expected that recovery to full operations and revenue will take at least 12–18 months.</w:t>
      </w:r>
    </w:p>
    <w:p w14:paraId="14DE1880" w14:textId="77777777" w:rsidR="00EF66A6" w:rsidRPr="00EA444B" w:rsidRDefault="00EF66A6" w:rsidP="00EF66A6">
      <w:pPr>
        <w:pStyle w:val="Heading3"/>
      </w:pPr>
      <w:bookmarkStart w:id="434" w:name="_Toc2003293"/>
      <w:r w:rsidRPr="00EA444B">
        <w:t>Other Buildings</w:t>
      </w:r>
      <w:bookmarkEnd w:id="434"/>
    </w:p>
    <w:p w14:paraId="275E9C86" w14:textId="77777777" w:rsidR="00EF66A6" w:rsidRPr="00792251" w:rsidRDefault="00EF66A6" w:rsidP="00EF66A6">
      <w:r>
        <w:t>GBO</w:t>
      </w:r>
      <w:r w:rsidRPr="00792251">
        <w:t xml:space="preserve"> maintains the Jansky Laboratory, which houses offices, the electronics laboratory, the telescope operations rooms, anechoic chamber, plus all buildings associated with the site instruments, two storage (warehouse) facilities, the plant maintenance works area, a paint shop, and other miscellaneous buildings. </w:t>
      </w:r>
    </w:p>
    <w:p w14:paraId="73A79918" w14:textId="77777777" w:rsidR="00EF66A6" w:rsidRPr="00EA444B" w:rsidRDefault="00EF66A6" w:rsidP="00EF66A6">
      <w:pPr>
        <w:pStyle w:val="Heading3"/>
      </w:pPr>
      <w:bookmarkStart w:id="435" w:name="_Toc2003294"/>
      <w:r w:rsidRPr="00EA444B">
        <w:t>Vehicles</w:t>
      </w:r>
      <w:bookmarkEnd w:id="435"/>
    </w:p>
    <w:p w14:paraId="7FA91471" w14:textId="77777777" w:rsidR="00EF66A6" w:rsidRPr="00D9670E" w:rsidRDefault="00EF66A6" w:rsidP="00EF66A6">
      <w:r w:rsidRPr="00D9670E">
        <w:t xml:space="preserve">Green Bank maintains a fleet of NSF-owned and General Services Administration (GSA)-leased vehicles. The fleet consists of transportation, maintenance, and support vehicles, plus specialized site maintenance heavy equipment. With no facilities to lease or rent vehicles within a reasonable distance, it is more economical to maintain </w:t>
      </w:r>
      <w:r>
        <w:t>a GBO</w:t>
      </w:r>
      <w:r w:rsidRPr="00D9670E">
        <w:t xml:space="preserve"> fleet.</w:t>
      </w:r>
    </w:p>
    <w:p w14:paraId="14823474" w14:textId="77777777" w:rsidR="00EF66A6" w:rsidRPr="00D9670E" w:rsidRDefault="00EF66A6" w:rsidP="00EF66A6">
      <w:pPr>
        <w:pStyle w:val="Heading3"/>
      </w:pPr>
      <w:bookmarkStart w:id="436" w:name="_Toc2003295"/>
      <w:r w:rsidRPr="00D9670E">
        <w:t>Green Bank Machine Shop</w:t>
      </w:r>
      <w:bookmarkEnd w:id="436"/>
    </w:p>
    <w:p w14:paraId="6223144A" w14:textId="77777777" w:rsidR="00EF66A6" w:rsidRPr="00D9670E" w:rsidRDefault="00EF66A6" w:rsidP="00EF66A6">
      <w:r w:rsidRPr="00D9670E">
        <w:t xml:space="preserve">The Green Bank Machine Shop (the “Shop”) is a technical and financial asset to AUI and </w:t>
      </w:r>
      <w:r>
        <w:t>GBO</w:t>
      </w:r>
      <w:r w:rsidRPr="00D9670E">
        <w:t xml:space="preserve">, performing iterative, challenging, and non-standard fabrications that are often not available from commercial shops. Research and development fabrications typically are iteratively developed in close collaboration with engineers and scientists. The Shop’s rapid repair capabilities maximize telescope observation time and compress development schedules for </w:t>
      </w:r>
      <w:r>
        <w:t>GBO</w:t>
      </w:r>
      <w:r w:rsidRPr="00D9670E">
        <w:t xml:space="preserve"> instruments.</w:t>
      </w:r>
    </w:p>
    <w:p w14:paraId="3C7466C6" w14:textId="77777777" w:rsidR="0065524E" w:rsidRPr="00EA444B" w:rsidRDefault="0065524E" w:rsidP="0065524E">
      <w:pPr>
        <w:pStyle w:val="Heading3"/>
      </w:pPr>
      <w:bookmarkStart w:id="437" w:name="_Toc83886116"/>
      <w:r w:rsidRPr="00EA444B">
        <w:t>Other Active Telescopes</w:t>
      </w:r>
      <w:bookmarkEnd w:id="437"/>
    </w:p>
    <w:p w14:paraId="58979DA8" w14:textId="77777777" w:rsidR="0065524E" w:rsidRPr="00EA444B" w:rsidRDefault="0065524E" w:rsidP="0065524E">
      <w:pPr>
        <w:pStyle w:val="ListParagraph"/>
        <w:ind w:left="0"/>
      </w:pPr>
      <w:r w:rsidRPr="00EA444B">
        <w:t xml:space="preserve">The research and science capabilities of </w:t>
      </w:r>
      <w:r>
        <w:t>GBO</w:t>
      </w:r>
      <w:r w:rsidRPr="00EA444B">
        <w:t xml:space="preserve"> extend well beyond the GBT. The </w:t>
      </w:r>
      <w:r>
        <w:t>GBO</w:t>
      </w:r>
      <w:r w:rsidRPr="00EA444B">
        <w:t xml:space="preserve"> is a highly self-contained site that consists of </w:t>
      </w:r>
      <w:r>
        <w:t>three</w:t>
      </w:r>
      <w:r w:rsidRPr="00EA444B">
        <w:t xml:space="preserve"> active radio telescopes; technical, engineering, and administrative buildings; short and long-term residences; and the necessary infrastructure to support all of the scientific activities and staff on the site. This section describes </w:t>
      </w:r>
      <w:r>
        <w:t>GBO’s</w:t>
      </w:r>
      <w:r w:rsidRPr="00EA444B">
        <w:t xml:space="preserve"> other telescopes and research instruments. In addition to the GBT, </w:t>
      </w:r>
      <w:r>
        <w:t>two</w:t>
      </w:r>
      <w:r w:rsidRPr="00EA444B">
        <w:t xml:space="preserve"> other telescopes are in active operation at the </w:t>
      </w:r>
      <w:r>
        <w:t>GBO</w:t>
      </w:r>
      <w:r w:rsidRPr="00EA444B">
        <w:t>.</w:t>
      </w:r>
    </w:p>
    <w:p w14:paraId="4B882D2B" w14:textId="77777777" w:rsidR="0065524E" w:rsidRPr="00EA444B" w:rsidRDefault="0065524E" w:rsidP="0065524E">
      <w:pPr>
        <w:pStyle w:val="NormalWeb"/>
      </w:pPr>
      <w:r w:rsidRPr="00F563F7">
        <w:rPr>
          <w:b/>
        </w:rPr>
        <w:t>20-Meter Telescope</w:t>
      </w:r>
      <w:r w:rsidRPr="00EA444B">
        <w:t xml:space="preserve">: </w:t>
      </w:r>
      <w:r>
        <w:t>GBO’s</w:t>
      </w:r>
      <w:r w:rsidRPr="00EA444B">
        <w:t xml:space="preserve"> 20-Meter telescope, used by the Education </w:t>
      </w:r>
      <w:r>
        <w:t>and</w:t>
      </w:r>
      <w:r w:rsidRPr="00EA444B">
        <w:t xml:space="preserve"> Public Outreach (EPO) division, is an integral element of Skynet, a distributed network of robotic telescopes operated by the </w:t>
      </w:r>
      <w:r w:rsidRPr="00EA444B">
        <w:lastRenderedPageBreak/>
        <w:t>University of North Carolina-Chapel Hill for educational purposes, and is contractually available for scientific research</w:t>
      </w:r>
      <w:r>
        <w:t xml:space="preserve">, </w:t>
      </w:r>
      <w:r w:rsidRPr="00EA444B">
        <w:t xml:space="preserve">controlled via the Skynet web interface. This opens access to authentic radio astronomy observing activities and labs to middle/high school and undergraduate students anywhere. </w:t>
      </w:r>
      <w:r w:rsidRPr="00F563F7">
        <w:rPr>
          <w:spacing w:val="-4"/>
        </w:rPr>
        <w:t>The 4-H Organization has recently accepted Skynet Junior Scholars as a national curriculum project. Additionally, several colleges are using the 20-Meter to conduct observations as part of their Astro 101 courses.</w:t>
      </w:r>
      <w:r w:rsidRPr="00EA444B">
        <w:t xml:space="preserve">  </w:t>
      </w:r>
    </w:p>
    <w:p w14:paraId="42399D1E" w14:textId="77777777" w:rsidR="0065524E" w:rsidRPr="00EA444B" w:rsidRDefault="0065524E" w:rsidP="0065524E">
      <w:pPr>
        <w:pStyle w:val="NormalWeb"/>
      </w:pPr>
    </w:p>
    <w:p w14:paraId="374D6137" w14:textId="77777777" w:rsidR="0065524E" w:rsidRPr="00EA444B" w:rsidRDefault="0065524E" w:rsidP="0065524E">
      <w:pPr>
        <w:pStyle w:val="NormalWeb"/>
      </w:pPr>
      <w:r w:rsidRPr="00F563F7">
        <w:rPr>
          <w:b/>
        </w:rPr>
        <w:t>40-Foot Telescope</w:t>
      </w:r>
      <w:r w:rsidRPr="00EA444B">
        <w:t xml:space="preserve">: </w:t>
      </w:r>
      <w:r w:rsidRPr="00F563F7">
        <w:t xml:space="preserve">The 40-Foot telescope is operated by the EPO division </w:t>
      </w:r>
      <w:r>
        <w:t xml:space="preserve">exclusively </w:t>
      </w:r>
      <w:r w:rsidRPr="00F563F7">
        <w:t>for on-site education and outreach. This telescope features basic operating controls and recording instruments and is one of the few telescopes ideal for students in high school through college undergraduates. Remote operation of the 40-Foot telescope is not currently possible nor planned.</w:t>
      </w:r>
    </w:p>
    <w:p w14:paraId="2E97423D" w14:textId="77777777" w:rsidR="0065524E" w:rsidRPr="00DA6063" w:rsidRDefault="0065524E" w:rsidP="0065524E">
      <w:pPr>
        <w:pStyle w:val="Heading3"/>
      </w:pPr>
      <w:bookmarkStart w:id="438" w:name="_Toc83886117"/>
      <w:r w:rsidRPr="00DA6063">
        <w:t>Inactive Telescopes</w:t>
      </w:r>
      <w:bookmarkEnd w:id="438"/>
    </w:p>
    <w:p w14:paraId="7BD4EE08" w14:textId="77777777" w:rsidR="0065524E" w:rsidRPr="003F094F" w:rsidRDefault="0065524E" w:rsidP="0065524E">
      <w:pPr>
        <w:pStyle w:val="NormalWeb"/>
        <w:rPr>
          <w:spacing w:val="-2"/>
        </w:rPr>
      </w:pPr>
      <w:r w:rsidRPr="003F094F">
        <w:rPr>
          <w:spacing w:val="-2"/>
        </w:rPr>
        <w:t>The 140-Foot Telescope was refitted for operation as a downlink earth station for the Lebedev Physical Institute’s (LPI) RadioAstron VLBI science satellite. At this time, no contracts are in place and this telescope is idled; although, it remains a scientifically important GBO asset, as the LPI contract demonstrated.</w:t>
      </w:r>
    </w:p>
    <w:p w14:paraId="32BC9AE0" w14:textId="77777777" w:rsidR="0065524E" w:rsidRPr="00EA444B" w:rsidRDefault="0065524E" w:rsidP="0065524E">
      <w:r w:rsidRPr="00EA444B">
        <w:t xml:space="preserve">The 45-Foot telescope, last used for solar observing and not funded for operations, is </w:t>
      </w:r>
      <w:r>
        <w:t>mothballed</w:t>
      </w:r>
      <w:r w:rsidRPr="00EA444B">
        <w:t>.</w:t>
      </w:r>
    </w:p>
    <w:p w14:paraId="088E417F" w14:textId="77777777" w:rsidR="0065524E" w:rsidRPr="00EA444B" w:rsidRDefault="0065524E" w:rsidP="0065524E">
      <w:r w:rsidRPr="00EA444B">
        <w:t>Three 85-Foot telescopes, formerly part of a Green Bank Interferometer</w:t>
      </w:r>
      <w:r>
        <w:t>,</w:t>
      </w:r>
      <w:r w:rsidRPr="00EA444B">
        <w:t xml:space="preserve"> are </w:t>
      </w:r>
      <w:r>
        <w:t>mothballed</w:t>
      </w:r>
      <w:r w:rsidRPr="00EA444B">
        <w:t xml:space="preserve"> and maintained only at a level to prevent any risk to safety or structural integrity.</w:t>
      </w:r>
    </w:p>
    <w:p w14:paraId="54734881" w14:textId="77777777" w:rsidR="0065524E" w:rsidRPr="00EA444B" w:rsidRDefault="0065524E" w:rsidP="0065524E">
      <w:pPr>
        <w:rPr>
          <w:rFonts w:cs="Calibri"/>
          <w:sz w:val="20"/>
          <w:szCs w:val="20"/>
        </w:rPr>
      </w:pPr>
      <w:r w:rsidRPr="00EA444B">
        <w:t>Possible scientific applications for these inactive telescopes are being explored</w:t>
      </w:r>
      <w:r>
        <w:t>. W</w:t>
      </w:r>
      <w:r w:rsidRPr="00EA444B">
        <w:t xml:space="preserve">hile these assets are currently inactive, possible future uses may be found if necessary refurbishment is externally funded by a research initiative. </w:t>
      </w:r>
    </w:p>
    <w:p w14:paraId="65B14C83" w14:textId="77777777" w:rsidR="0065524E" w:rsidRPr="00EA444B" w:rsidRDefault="0065524E" w:rsidP="0065524E">
      <w:pPr>
        <w:pStyle w:val="Heading3"/>
      </w:pPr>
      <w:bookmarkStart w:id="439" w:name="_Toc1140138"/>
      <w:bookmarkStart w:id="440" w:name="_Toc83886118"/>
      <w:r w:rsidRPr="00EA444B">
        <w:t>Other Site Instruments</w:t>
      </w:r>
      <w:bookmarkEnd w:id="439"/>
      <w:bookmarkEnd w:id="440"/>
    </w:p>
    <w:p w14:paraId="5DD11AA6" w14:textId="77777777" w:rsidR="0065524E" w:rsidRPr="00EA444B" w:rsidRDefault="0065524E" w:rsidP="0065524E">
      <w:r>
        <w:t>GBO’s</w:t>
      </w:r>
      <w:r w:rsidRPr="00EA444B">
        <w:t xml:space="preserve"> excellent site infrastructure, combined with its location inside two radio quiet zones, makes it an attractive location for other research instruments. Each of the following instruments is located on site, with operating terms and service offerings covered by contract or Memorandum of Understanding (MOU) </w:t>
      </w:r>
      <w:r>
        <w:t xml:space="preserve">or site hosting agreement </w:t>
      </w:r>
      <w:r w:rsidRPr="00EA444B">
        <w:t xml:space="preserve">between </w:t>
      </w:r>
      <w:r>
        <w:t xml:space="preserve">GBO </w:t>
      </w:r>
      <w:r w:rsidRPr="00EA444B">
        <w:t xml:space="preserve">and the instrument PI as primarily a cost recovery and </w:t>
      </w:r>
      <w:r>
        <w:t>GBO</w:t>
      </w:r>
      <w:r w:rsidRPr="00EA444B">
        <w:t xml:space="preserve"> science mission support activity.</w:t>
      </w:r>
      <w:r>
        <w:t xml:space="preserve"> The GBO currently hosts three instruments.</w:t>
      </w:r>
    </w:p>
    <w:p w14:paraId="39F84313" w14:textId="77777777" w:rsidR="0065524E" w:rsidRPr="00EA444B" w:rsidRDefault="0065524E" w:rsidP="0065524E">
      <w:r w:rsidRPr="00F563F7">
        <w:rPr>
          <w:b/>
        </w:rPr>
        <w:t>Low Frequency All-Sky Monitor Project (LoFASM)</w:t>
      </w:r>
      <w:r w:rsidRPr="00EA444B">
        <w:t xml:space="preserve">: </w:t>
      </w:r>
      <w:r w:rsidRPr="00F563F7">
        <w:t xml:space="preserve">LoFASM is a University of Texas Rio Grande Valley project that will consist of four arrays of phased dipoles separated by several thousand kilometers. One of its first arrays was installed at the Green Bank site in FY2013, and the instrument is now fully operational. Green Bank provides space for the array antennas and data collection computer, power, and network connectivity. No support or maintenance work is performed on the instrument by </w:t>
      </w:r>
      <w:r>
        <w:t xml:space="preserve">GBO </w:t>
      </w:r>
      <w:r w:rsidRPr="00F563F7">
        <w:t>staff.</w:t>
      </w:r>
    </w:p>
    <w:p w14:paraId="0431F18B" w14:textId="77777777" w:rsidR="0065524E" w:rsidRDefault="0065524E" w:rsidP="0065524E">
      <w:r w:rsidRPr="00F563F7">
        <w:rPr>
          <w:b/>
        </w:rPr>
        <w:t>West Virginia Geospatial Information Network</w:t>
      </w:r>
      <w:r w:rsidRPr="00EA444B">
        <w:t xml:space="preserve">: </w:t>
      </w:r>
      <w:r w:rsidRPr="0079377B">
        <w:t xml:space="preserve">A Continuous Operating Reference Station (CORS) Global Positioning System (GPS) sensor for the West Virginia Geospatial Information Network is installed at </w:t>
      </w:r>
      <w:r>
        <w:t>GBO</w:t>
      </w:r>
      <w:r w:rsidRPr="0079377B">
        <w:t xml:space="preserve">. This project is staffed and </w:t>
      </w:r>
      <w:r>
        <w:t>operated</w:t>
      </w:r>
      <w:r w:rsidRPr="0079377B">
        <w:t xml:space="preserve"> through the State of West Virginia. </w:t>
      </w:r>
      <w:r>
        <w:t>GBO</w:t>
      </w:r>
      <w:r w:rsidRPr="0079377B">
        <w:t xml:space="preserve"> provides space for the sensor and computer, power, and network connectivity. No support or maintenance work is performed on the instrument by </w:t>
      </w:r>
      <w:r>
        <w:t>GBO</w:t>
      </w:r>
      <w:r w:rsidRPr="0079377B">
        <w:t xml:space="preserve"> staff. In addition to the State’s use of the </w:t>
      </w:r>
      <w:r>
        <w:t>s</w:t>
      </w:r>
      <w:r w:rsidRPr="0079377B">
        <w:t xml:space="preserve">tation, </w:t>
      </w:r>
      <w:r>
        <w:t>GBO</w:t>
      </w:r>
      <w:r w:rsidRPr="0079377B">
        <w:t xml:space="preserve"> has used the CORS for precise location of the 140-Foot telescope and other </w:t>
      </w:r>
      <w:r>
        <w:t>GBO</w:t>
      </w:r>
      <w:r w:rsidRPr="0079377B">
        <w:t xml:space="preserve"> instruments.</w:t>
      </w:r>
    </w:p>
    <w:p w14:paraId="0B0C1979" w14:textId="77777777" w:rsidR="0065524E" w:rsidRDefault="0065524E" w:rsidP="0065524E">
      <w:r w:rsidRPr="003F094F">
        <w:rPr>
          <w:b/>
        </w:rPr>
        <w:lastRenderedPageBreak/>
        <w:t>Canadian Hydrogen Intensity Mapping Experiment (</w:t>
      </w:r>
      <w:r w:rsidRPr="00F563F7">
        <w:rPr>
          <w:b/>
        </w:rPr>
        <w:t>CHIME</w:t>
      </w:r>
      <w:r>
        <w:rPr>
          <w:b/>
        </w:rPr>
        <w:t>)</w:t>
      </w:r>
      <w:r w:rsidRPr="00F563F7">
        <w:rPr>
          <w:b/>
        </w:rPr>
        <w:t xml:space="preserve"> Prototype Array</w:t>
      </w:r>
      <w:r>
        <w:t xml:space="preserve">: </w:t>
      </w:r>
      <w:r w:rsidRPr="0079377B">
        <w:t xml:space="preserve">In FY2020, </w:t>
      </w:r>
      <w:r w:rsidRPr="003F094F">
        <w:rPr>
          <w:spacing w:val="-2"/>
        </w:rPr>
        <w:t>GBO contracted with West Virginia University (WVU) to support the installation of 12, 6m class, parabolic antennas on Observatory grounds. These antennas, which consist of a pole mounted mesh reflector and a prime focus feed, were installed near the GBO Interferometry Control Building (ICB) where a small rack of electronic equipment is located in an RFI enclosure. The electronics are connected to the GBO LAN concentrator at the ICB via a fiber cable and the electronic equipment is fed a maser-referenced timing signal from the GBO timing center. Site hosting for this prototype array will be provided through FY2022.</w:t>
      </w:r>
    </w:p>
    <w:p w14:paraId="6A39DE5E" w14:textId="77777777" w:rsidR="0065524E" w:rsidRPr="00D9670E" w:rsidRDefault="0065524E" w:rsidP="0065524E">
      <w:r w:rsidRPr="0056627B">
        <w:rPr>
          <w:b/>
        </w:rPr>
        <w:t xml:space="preserve">CHIME </w:t>
      </w:r>
      <w:r w:rsidRPr="001D7DC3">
        <w:rPr>
          <w:b/>
        </w:rPr>
        <w:t>Outrigger Antenna</w:t>
      </w:r>
      <w:r w:rsidRPr="001D7DC3">
        <w:t>:</w:t>
      </w:r>
      <w:r>
        <w:t xml:space="preserve"> </w:t>
      </w:r>
      <w:r w:rsidRPr="00D9670E">
        <w:t xml:space="preserve">CHIME is comprised of 20-m </w:t>
      </w:r>
      <w:r>
        <w:t>by</w:t>
      </w:r>
      <w:r w:rsidRPr="00D9670E">
        <w:t xml:space="preserve"> 100-m semi-cylindrical paraboloid reflectors. The prime CHIME site located on the grounds of the Dominion Radio Astrophysical Observatory (DRAO) near Penticton, British Columbia, is composed of four reflectors.   </w:t>
      </w:r>
    </w:p>
    <w:p w14:paraId="4914AAD1" w14:textId="77777777" w:rsidR="0065524E" w:rsidRPr="00D9670E" w:rsidRDefault="0065524E" w:rsidP="0065524E">
      <w:r w:rsidRPr="00D9670E">
        <w:t xml:space="preserve">Based on the CHIME Prototype proof of concept conducted in FY2020 at GBO by West Virginia University (WVU), the CHIME project desires to build a more extensive adjunct to the main telescope. </w:t>
      </w:r>
    </w:p>
    <w:p w14:paraId="38E9F8A1" w14:textId="77777777" w:rsidR="0065524E" w:rsidRPr="00D9670E" w:rsidRDefault="0065524E" w:rsidP="0065524E">
      <w:r>
        <w:t>In FY2021, c</w:t>
      </w:r>
      <w:r w:rsidRPr="00D9670E">
        <w:t xml:space="preserve">onstruction </w:t>
      </w:r>
      <w:r>
        <w:t xml:space="preserve">of </w:t>
      </w:r>
      <w:r w:rsidRPr="00D9670E">
        <w:t xml:space="preserve">a Chime ‘Outrigger’ reflector at </w:t>
      </w:r>
      <w:r>
        <w:t>GBO began, through contract between WVU and the Gordon and Betty Moore Foundation</w:t>
      </w:r>
      <w:r w:rsidRPr="00D9670E">
        <w:t xml:space="preserve">. The </w:t>
      </w:r>
      <w:r>
        <w:t>outrigger</w:t>
      </w:r>
      <w:r w:rsidRPr="00D9670E">
        <w:t xml:space="preserve"> will be similar in design to the reflectors located in Penticton. Initial construction </w:t>
      </w:r>
      <w:r>
        <w:t>is</w:t>
      </w:r>
      <w:r w:rsidRPr="00D9670E">
        <w:t xml:space="preserve"> for a single 100m x 20m semi-cylindrical paraboloid reflector, which may be expanded to two reflectors if needed. Accompanying the cylindrical reflectors</w:t>
      </w:r>
      <w:r>
        <w:t xml:space="preserve"> in the FY2023–24 timeframe</w:t>
      </w:r>
      <w:r w:rsidRPr="00D9670E">
        <w:t xml:space="preserve"> is an array of 64 six-meter class fixed-position parabolic prime focus antennas of the same basic design as those used for the 12-antenna prototype arrays described above.</w:t>
      </w:r>
    </w:p>
    <w:p w14:paraId="02F41720" w14:textId="77777777" w:rsidR="0065524E" w:rsidRPr="00D9670E" w:rsidRDefault="0065524E" w:rsidP="0065524E">
      <w:r w:rsidRPr="00D9670E">
        <w:t>An e</w:t>
      </w:r>
      <w:r>
        <w:t>nvironmental review was</w:t>
      </w:r>
      <w:r w:rsidRPr="00D9670E">
        <w:t xml:space="preserve"> complet</w:t>
      </w:r>
      <w:r>
        <w:t>ed in FY2021</w:t>
      </w:r>
      <w:r w:rsidRPr="00D9670E">
        <w:t xml:space="preserve"> in accordance with NSF requirements. </w:t>
      </w:r>
      <w:r w:rsidRPr="008F7AB6">
        <w:t>Foundation construction is complet</w:t>
      </w:r>
      <w:r>
        <w:t>ing</w:t>
      </w:r>
      <w:r w:rsidRPr="008F7AB6">
        <w:t xml:space="preserve"> in FY2021 with antenna construction in FY2022</w:t>
      </w:r>
      <w:r w:rsidRPr="00D9670E">
        <w:t xml:space="preserve"> consist</w:t>
      </w:r>
      <w:r>
        <w:t>ing</w:t>
      </w:r>
      <w:r w:rsidRPr="00D9670E">
        <w:t xml:space="preserve"> of installation or supervision of cylindrical antenna foundations, supervision of parabolic antenna mounting masts, cable conduit installation, and primary power provisioning and installation to the C</w:t>
      </w:r>
      <w:r>
        <w:t>HIME</w:t>
      </w:r>
      <w:r w:rsidRPr="00D9670E">
        <w:t xml:space="preserve"> Correlator Building, </w:t>
      </w:r>
      <w:r>
        <w:t>During construction, GBO</w:t>
      </w:r>
      <w:r w:rsidRPr="00D9670E">
        <w:t xml:space="preserve"> will provide </w:t>
      </w:r>
      <w:r>
        <w:t xml:space="preserve">oversight activities for the construction and </w:t>
      </w:r>
      <w:r w:rsidRPr="00D9670E">
        <w:t xml:space="preserve">connections to </w:t>
      </w:r>
      <w:r>
        <w:t>GBO’s</w:t>
      </w:r>
      <w:r w:rsidRPr="00D9670E">
        <w:t xml:space="preserve"> power distribution system, RFI testing and mitigation consulting, connections to the GBO fiber network, and provisioning space in the 85-1 Control Building for power and fiber connections.</w:t>
      </w:r>
    </w:p>
    <w:p w14:paraId="6927E9E9" w14:textId="77777777" w:rsidR="0065524E" w:rsidRDefault="0065524E" w:rsidP="0065524E">
      <w:r w:rsidRPr="000770F9">
        <w:t xml:space="preserve">Post construction, </w:t>
      </w:r>
      <w:r>
        <w:t>GBO</w:t>
      </w:r>
      <w:r w:rsidRPr="000770F9">
        <w:t xml:space="preserve"> expects to host the CHIME installation for multiple years</w:t>
      </w:r>
      <w:r>
        <w:t>, potentially</w:t>
      </w:r>
      <w:r w:rsidRPr="000770F9">
        <w:t xml:space="preserve"> through at least FY2026.</w:t>
      </w:r>
    </w:p>
    <w:p w14:paraId="4F3913F2" w14:textId="77777777" w:rsidR="00EF66A6" w:rsidRDefault="00EF66A6" w:rsidP="00EF66A6">
      <w:pPr>
        <w:pStyle w:val="Heading2"/>
      </w:pPr>
      <w:bookmarkStart w:id="441" w:name="_Toc83886151"/>
      <w:r>
        <w:t>Structure</w:t>
      </w:r>
      <w:bookmarkEnd w:id="441"/>
      <w:r>
        <w:t xml:space="preserve"> Maintenance</w:t>
      </w:r>
    </w:p>
    <w:p w14:paraId="5BBF09EC" w14:textId="77777777" w:rsidR="00EF66A6" w:rsidRDefault="00EF66A6" w:rsidP="00EF66A6">
      <w:pPr>
        <w:pStyle w:val="Heading3"/>
      </w:pPr>
      <w:r>
        <w:t>Painting</w:t>
      </w:r>
    </w:p>
    <w:p w14:paraId="4AEC88DC" w14:textId="77777777" w:rsidR="00EF66A6" w:rsidRPr="00B75B0D" w:rsidRDefault="00EF66A6" w:rsidP="00EF66A6">
      <w:pPr>
        <w:rPr>
          <w:spacing w:val="-2"/>
        </w:rPr>
      </w:pPr>
      <w:r w:rsidRPr="00B75B0D">
        <w:rPr>
          <w:spacing w:val="-2"/>
        </w:rPr>
        <w:t>All telescopes require painting to minimize corrosion and are painted white to minimize thermal distortions that would affect telescope pointing and focus. For the GBT, the annual goal has been to paint 10% of the structure annually during the summer months. In FY2021, the triannual telescope inspection process indicated concern regarding the age of the base paint and the fact that painting, due in part to the COVID-19 pandemic, was behind the 10-year goal. As a result, a paint consultant was hired to look at the GBT painting process, and his recommendations have been received and will be implemented beginning in FY2022.</w:t>
      </w:r>
    </w:p>
    <w:p w14:paraId="6F4B4FDD" w14:textId="77777777" w:rsidR="00EF66A6" w:rsidRDefault="00EF66A6" w:rsidP="00EF66A6">
      <w:r>
        <w:t xml:space="preserve">First, due to the 20-year age of the telescope, and following the recommendations of the outside paint consultant, in FY2022, GBO will be pursuing a change in the overall painting strategy, with the aim to completely strip and repaint the telescope structure and dish over the course of only one to three years. </w:t>
      </w:r>
      <w:r>
        <w:lastRenderedPageBreak/>
        <w:t>In FY2022, GBO will be seeking cost estimate for this activity and, once costed, begin seeking funding for this change in painting cadence.</w:t>
      </w:r>
    </w:p>
    <w:p w14:paraId="3743B95D" w14:textId="77777777" w:rsidR="00EF66A6" w:rsidRDefault="00EF66A6" w:rsidP="00EF66A6">
      <w:r>
        <w:t xml:space="preserve">Second, the outside consultant recommended a change in both the paint and painting technique for the telescope. Unless funding for the proposed chance in painting cadence is received, in FY2022, a new strategy for hiring and training painters will be developed, using the new paint and painting techniques.  </w:t>
      </w:r>
    </w:p>
    <w:p w14:paraId="3C2AE3CD" w14:textId="77777777" w:rsidR="00EF66A6" w:rsidRDefault="00EF66A6" w:rsidP="00EF66A6">
      <w:r>
        <w:t>The other idled telescopes are not scheduled for any painting in FY2022.</w:t>
      </w:r>
    </w:p>
    <w:p w14:paraId="54720018" w14:textId="77777777" w:rsidR="00EF66A6" w:rsidRDefault="00EF66A6" w:rsidP="00EF66A6">
      <w:pPr>
        <w:pStyle w:val="Heading3"/>
      </w:pPr>
      <w:r>
        <w:t>T</w:t>
      </w:r>
      <w:r w:rsidRPr="006C3BE9">
        <w:t xml:space="preserve">rack </w:t>
      </w:r>
      <w:r>
        <w:t>R</w:t>
      </w:r>
      <w:r w:rsidRPr="006C3BE9">
        <w:t>epair</w:t>
      </w:r>
    </w:p>
    <w:p w14:paraId="347A83A4" w14:textId="77777777" w:rsidR="00EF66A6" w:rsidRDefault="00EF66A6" w:rsidP="00EF66A6">
      <w:r w:rsidRPr="006C3BE9">
        <w:t>The GBT track is</w:t>
      </w:r>
      <w:r>
        <w:t xml:space="preserve"> 14</w:t>
      </w:r>
      <w:r w:rsidRPr="006C3BE9">
        <w:t xml:space="preserve"> years old and showing signs of wear. The GBT track system was replaced in 2007 to address premature wear and </w:t>
      </w:r>
      <w:r>
        <w:t xml:space="preserve">still </w:t>
      </w:r>
      <w:r w:rsidRPr="006C3BE9">
        <w:t xml:space="preserve">requires periodic maintenance. The primary component requiring replacement are the wear plates, and beginning in FY2014, an annual program </w:t>
      </w:r>
      <w:r>
        <w:t xml:space="preserve">was initiated </w:t>
      </w:r>
      <w:r w:rsidRPr="006C3BE9">
        <w:t>to replace GBT track pieces showing significant wear. In FY2018, ultrasonic peening was added to the manufacturing of the steel track pieces, with the aim of extending their lifetime. This process continued to be added to new track piec</w:t>
      </w:r>
      <w:r>
        <w:t>es through FY2021. In</w:t>
      </w:r>
      <w:r w:rsidRPr="006C3BE9">
        <w:t xml:space="preserve"> FY2021, the annual track inspection process </w:t>
      </w:r>
      <w:r>
        <w:t>showed</w:t>
      </w:r>
      <w:r w:rsidRPr="006C3BE9">
        <w:t xml:space="preserve"> the effectiveness of the peening, </w:t>
      </w:r>
      <w:r>
        <w:t>and this practice will continue into the future.</w:t>
      </w:r>
      <w:r w:rsidRPr="006C3BE9">
        <w:t xml:space="preserve"> </w:t>
      </w:r>
      <w:r>
        <w:t xml:space="preserve">In FY2020, work was also undertaken to inspect the grout layer of the track, and replace sections of the grout as needed. </w:t>
      </w:r>
    </w:p>
    <w:p w14:paraId="5B190C22" w14:textId="77777777" w:rsidR="00EF66A6" w:rsidRDefault="00EF66A6" w:rsidP="00EF66A6">
      <w:r>
        <w:t>For FY2022, the goal is to purchase an additional 12 new track plates, conduct inspection of the plates and grout, and replace the most worn 8–12 track plates as well as up to another 7–10 grout pockets.  However, a request has been made of the NSF to provide funding to allow for acceleration of the track replacement. If this funding is received, these goals will be superseded.</w:t>
      </w:r>
    </w:p>
    <w:p w14:paraId="6AF36138" w14:textId="77777777" w:rsidR="00EF66A6" w:rsidRDefault="00EF66A6" w:rsidP="00EF66A6">
      <w:r>
        <w:t>Finally, it should be noted that due to COVID-19 impacts</w:t>
      </w:r>
      <w:r w:rsidRPr="009A54E9">
        <w:t xml:space="preserve"> </w:t>
      </w:r>
      <w:r>
        <w:t>to the supply chain, the grout work and track replacement scheduled for FY2021 may be delayed and not completed until Q1 FY2022.</w:t>
      </w:r>
    </w:p>
    <w:p w14:paraId="15E59EA0" w14:textId="77777777" w:rsidR="00EF66A6" w:rsidRPr="006C3BE9" w:rsidRDefault="00EF66A6" w:rsidP="00EF66A6"/>
    <w:p w14:paraId="25032E94" w14:textId="77777777" w:rsidR="00EF66A6" w:rsidRDefault="00EF66A6" w:rsidP="00EF66A6">
      <w:pPr>
        <w:pStyle w:val="Heading3"/>
      </w:pPr>
      <w:r w:rsidRPr="006C3BE9">
        <w:t xml:space="preserve">Structural Inspection </w:t>
      </w:r>
    </w:p>
    <w:p w14:paraId="061E9E10" w14:textId="77777777" w:rsidR="00EF66A6" w:rsidRDefault="00EF66A6" w:rsidP="00EF66A6">
      <w:r w:rsidRPr="006C3BE9">
        <w:t xml:space="preserve">The design service life of 20 years for the GBT was based on fatigue cycles of critical components. The number of cycles each year since 2002 are equivalent to only 30% of the cycles predicted; hence, the service life of the GBT will far exceed the original design life. The GBT is inspected annually during the summer maintenance period by the Chief Telescope Engineer. Additionally, to monitor and document GBT condition, an inspection of the critical structural members of the GBT is performed by an outside engineering firm every three years, with a full structural inspection completed over two inspection cycles (six years). Findings are corrected following each inspection. The last full inspection occurred in </w:t>
      </w:r>
      <w:r>
        <w:t>FY2021</w:t>
      </w:r>
      <w:r w:rsidRPr="006C3BE9">
        <w:t>,</w:t>
      </w:r>
      <w:r>
        <w:t xml:space="preserve"> and the report from that inspection will be released in FY2022.  </w:t>
      </w:r>
    </w:p>
    <w:p w14:paraId="5FA28B6D" w14:textId="77777777" w:rsidR="00EF66A6" w:rsidRDefault="00EF66A6" w:rsidP="00EF66A6">
      <w:r>
        <w:t>In FY2022, a request will be made for a funding increase to GBO to allow for the structural inspections to be moved to bi-annual (from triannual), due to the age of the telescope.</w:t>
      </w:r>
    </w:p>
    <w:p w14:paraId="79CBB69A" w14:textId="77777777" w:rsidR="00EF66A6" w:rsidRDefault="00EF66A6" w:rsidP="00EF66A6">
      <w:pPr>
        <w:pStyle w:val="Heading3"/>
      </w:pPr>
      <w:r>
        <w:t>Structural Repairs</w:t>
      </w:r>
    </w:p>
    <w:p w14:paraId="17292244" w14:textId="77777777" w:rsidR="00EF66A6" w:rsidRDefault="00EF66A6" w:rsidP="00EF66A6">
      <w:r>
        <w:t>While the final report for the FY2021 structural inspections is not yet released, initial reports note that the inspectors</w:t>
      </w:r>
      <w:r w:rsidRPr="004E4312">
        <w:t xml:space="preserve"> found significant degradation in a few of the tubular U-connections in the upper feed arm (the saddle clamps). </w:t>
      </w:r>
      <w:r>
        <w:t xml:space="preserve">During FY2021, a structural paint expert and the inspectors were consulted, and </w:t>
      </w:r>
      <w:r>
        <w:lastRenderedPageBreak/>
        <w:t>work was done to stabilize the connectors. In FY2022, GBO will pursue a plan, and seek associated funding, to repair or replace all 22 U-connections on the telescope.</w:t>
      </w:r>
    </w:p>
    <w:p w14:paraId="201448F9" w14:textId="77777777" w:rsidR="00EF66A6" w:rsidRDefault="00EF66A6" w:rsidP="00EF66A6">
      <w:pPr>
        <w:pStyle w:val="Heading3"/>
      </w:pPr>
      <w:r w:rsidRPr="004E4312">
        <w:t xml:space="preserve">Coolant </w:t>
      </w:r>
      <w:r>
        <w:t>P</w:t>
      </w:r>
      <w:r w:rsidRPr="004E4312">
        <w:t>ipes</w:t>
      </w:r>
    </w:p>
    <w:p w14:paraId="454029C3" w14:textId="77777777" w:rsidR="00EF66A6" w:rsidRDefault="00EF66A6" w:rsidP="00EF66A6">
      <w:r>
        <w:t>The coolant pipes on the GBT are now 20 years old and have begun to show wear, through mild leaks in the piping. In FY2022, GBO will replace the coolant pipes for the lower have of the GBT (below the elevation axis), and develop a timeline and cost for replacement of the upper coolant pipes.</w:t>
      </w:r>
    </w:p>
    <w:p w14:paraId="498EE53F" w14:textId="77777777" w:rsidR="00EF66A6" w:rsidRDefault="00EF66A6" w:rsidP="00EF66A6">
      <w:pPr>
        <w:pStyle w:val="Heading3"/>
      </w:pPr>
      <w:r>
        <w:t>Prime Focus System</w:t>
      </w:r>
    </w:p>
    <w:p w14:paraId="09FD7FB3" w14:textId="77777777" w:rsidR="00EF66A6" w:rsidRPr="000E21B8" w:rsidRDefault="00EF66A6" w:rsidP="00EF66A6">
      <w:r>
        <w:t>In FY2022, the Prime Focus Boom balls screws will be inspected and repaired, and a new cover for the ball screws will be designed, purchased, and installed.  Additionally, the mount plate for the sterling mount will be removed and the mount holes repaired.</w:t>
      </w:r>
    </w:p>
    <w:p w14:paraId="5D18B963" w14:textId="77777777" w:rsidR="00EF66A6" w:rsidRDefault="00EF66A6" w:rsidP="00EF66A6">
      <w:pPr>
        <w:pStyle w:val="Heading3"/>
      </w:pPr>
      <w:r>
        <w:t>Cable Lines Inspection and Replacement</w:t>
      </w:r>
    </w:p>
    <w:p w14:paraId="188CF01F" w14:textId="77777777" w:rsidR="00EF66A6" w:rsidRDefault="00EF66A6" w:rsidP="00EF66A6">
      <w:pPr>
        <w:pStyle w:val="BodyText"/>
      </w:pPr>
      <w:r w:rsidRPr="00D01D68">
        <w:t xml:space="preserve">Regular inspection and, when required, replacement of the accessible cables and cable connectors on the GBT is part of the annual maintenance procedures.  </w:t>
      </w:r>
      <w:r>
        <w:t>I</w:t>
      </w:r>
      <w:r w:rsidRPr="00D01D68">
        <w:t xml:space="preserve">n FY2022, several extraordinary activities will begin, including the documentation of the cables and cable ties and inspection (and when needed replacement) of the cables for the GBT subreflector, Prime Focus boom, and GBT actuators. </w:t>
      </w:r>
    </w:p>
    <w:p w14:paraId="71E490FA" w14:textId="77777777" w:rsidR="00EF66A6" w:rsidRPr="00D01D68" w:rsidRDefault="00EF66A6" w:rsidP="00EF66A6">
      <w:pPr>
        <w:pStyle w:val="Heading3"/>
      </w:pPr>
      <w:r w:rsidRPr="00D01D68">
        <w:t>Surface Molds</w:t>
      </w:r>
    </w:p>
    <w:p w14:paraId="689ABE1B" w14:textId="77777777" w:rsidR="00EF66A6" w:rsidRDefault="00EF66A6" w:rsidP="00EF66A6">
      <w:r w:rsidRPr="00D01D68">
        <w:rPr>
          <w:spacing w:val="2"/>
        </w:rPr>
        <w:t>The original molds for the GBT’s primary and secondary surface are currently improperly stored and consequently unusable</w:t>
      </w:r>
      <w:r>
        <w:rPr>
          <w:spacing w:val="2"/>
        </w:rPr>
        <w:t xml:space="preserve"> in their current condition</w:t>
      </w:r>
      <w:r w:rsidRPr="00D01D68">
        <w:rPr>
          <w:spacing w:val="2"/>
        </w:rPr>
        <w:t>.  In FY2022 the molds will be cleaned, inventoried, and moved to a secure storage system.</w:t>
      </w:r>
      <w:r>
        <w:rPr>
          <w:spacing w:val="2"/>
        </w:rPr>
        <w:t xml:space="preserve"> </w:t>
      </w:r>
      <w:r>
        <w:t>Additionally, in FY2022, the surface setting tool will be inspected.</w:t>
      </w:r>
    </w:p>
    <w:p w14:paraId="137BF23F" w14:textId="77777777" w:rsidR="00EF66A6" w:rsidRDefault="00EF66A6" w:rsidP="00EF66A6"/>
    <w:p w14:paraId="15090599" w14:textId="77777777" w:rsidR="00EF66A6" w:rsidRDefault="00EF66A6" w:rsidP="00EF66A6"/>
    <w:p w14:paraId="16288697" w14:textId="77777777" w:rsidR="00EF66A6" w:rsidRDefault="00EF66A6" w:rsidP="00EF66A6">
      <w:pPr>
        <w:pStyle w:val="Heading3"/>
      </w:pPr>
      <w:r>
        <w:t>Data Center</w:t>
      </w:r>
    </w:p>
    <w:p w14:paraId="2BC017B0" w14:textId="77777777" w:rsidR="00EF66A6" w:rsidRPr="00D937B2" w:rsidRDefault="00EF66A6" w:rsidP="00EF66A6">
      <w:r>
        <w:t xml:space="preserve">As described in Section 2, the GBT continues to play a leading role in exiting new science areas including multi-messenger astrophysics. As the ability to collect large amounts of data grows, the existing computing support infrastructure (space, power, HVAC) in the Jansky Laboratory equipment and server rooms is at capacity. The NSF Windows on the Universe program provided an opportunity to expand data storage and processing capabilities commensurate with the planned new instruments, and in particular the housing of the GBT archive. With a supplemental award to the GBO CSA, construction of a new facility began in FY2021 adjacent to the Jansky Laboratory with its own power, emergency power, servers, data storage systems, HVAC, and networking to house the GBT archive and support growth of GBO computing systems.  </w:t>
      </w:r>
      <w:r w:rsidRPr="00C2794D">
        <w:t>In FY2022</w:t>
      </w:r>
      <w:r>
        <w:t>,</w:t>
      </w:r>
      <w:r w:rsidRPr="00C2794D">
        <w:t xml:space="preserve"> th</w:t>
      </w:r>
      <w:r>
        <w:t>e GBO</w:t>
      </w:r>
      <w:r w:rsidRPr="00C2794D">
        <w:t xml:space="preserve"> data center </w:t>
      </w:r>
      <w:r>
        <w:t xml:space="preserve">building </w:t>
      </w:r>
      <w:r w:rsidRPr="00C2794D">
        <w:t>will be completed and made ready for operational use.</w:t>
      </w:r>
    </w:p>
    <w:p w14:paraId="035983B2" w14:textId="77777777" w:rsidR="00EF66A6" w:rsidRDefault="00EF66A6" w:rsidP="00EF66A6">
      <w:pPr>
        <w:pStyle w:val="Heading3"/>
      </w:pPr>
      <w:r w:rsidRPr="00EA444B">
        <w:t>GBT Active Surface</w:t>
      </w:r>
      <w:r>
        <w:t xml:space="preserve"> (Not yet funded)</w:t>
      </w:r>
    </w:p>
    <w:p w14:paraId="1C1E0574" w14:textId="77777777" w:rsidR="00EF66A6" w:rsidRPr="00D01D68" w:rsidRDefault="00EF66A6" w:rsidP="00EF66A6">
      <w:pPr>
        <w:rPr>
          <w:spacing w:val="-2"/>
        </w:rPr>
      </w:pPr>
      <w:r w:rsidRPr="00D01D68">
        <w:rPr>
          <w:spacing w:val="-2"/>
        </w:rPr>
        <w:t xml:space="preserve">The GBT active surface has been operational since shortly after GBT commissioning and is a major contributor to the planned expansion of high frequency performance of the GBT over its lifetime. The Active Surface system is an integral part of the Green Bank Telescope (GBT) primary optics used for high frequency observing. The hardware components for the Active Surface were originally procured starting in early 1992 </w:t>
      </w:r>
      <w:r w:rsidRPr="00D01D68">
        <w:rPr>
          <w:spacing w:val="-2"/>
        </w:rPr>
        <w:lastRenderedPageBreak/>
        <w:t>and component test and evaluation began shortly thereafter. In FY2021, many components of the Active Surface system are, or are approaching, obsolescence. This plan will define how to replace the current, obsolete control system with a modern, reliable, and maintainable one as soon as funds are available.</w:t>
      </w:r>
    </w:p>
    <w:p w14:paraId="46C3F90C" w14:textId="77777777" w:rsidR="00EF66A6" w:rsidRPr="00011C72" w:rsidRDefault="00EF66A6" w:rsidP="00EF66A6">
      <w:r w:rsidRPr="00011C72">
        <w:t xml:space="preserve">From 2014 to 2018, GBO collaborated with West Virginia University (WVU) to engage three different student groups (11 total students over three separate academic years) to work on an Active Surface Control System upgrade capstone project. The students, supervised by a GBO staff digital engineer and by Dr. </w:t>
      </w:r>
      <w:proofErr w:type="spellStart"/>
      <w:r w:rsidRPr="00011C72">
        <w:t>Parviz</w:t>
      </w:r>
      <w:proofErr w:type="spellEnd"/>
      <w:r w:rsidRPr="00011C72">
        <w:t xml:space="preserve"> </w:t>
      </w:r>
      <w:proofErr w:type="spellStart"/>
      <w:r w:rsidRPr="00011C72">
        <w:t>Famouri</w:t>
      </w:r>
      <w:proofErr w:type="spellEnd"/>
      <w:r w:rsidRPr="00011C72">
        <w:t xml:space="preserve"> at WVU, designed a modernized hardware platform to upgrade the current GBT Active Surface system. The upgraded system will improve accuracy, and the modernized hardware and communications protocols will render GBO systems less susceptible to hardware obsolescence.</w:t>
      </w:r>
    </w:p>
    <w:p w14:paraId="67362D41" w14:textId="77777777" w:rsidR="00EF66A6" w:rsidRPr="00011C72" w:rsidRDefault="00EF66A6" w:rsidP="00EF66A6">
      <w:r w:rsidRPr="00011C72">
        <w:t xml:space="preserve">The original control system consists of a Versa Module Europa (VME) bus-based architecture, along with VME hardware interface boards that communicate with the control modules. Two VME single board computers interact with 70 pairs of control modules to adjust the surface. The communications protocol is proprietary and the architecture obsolete, so a new design is required. </w:t>
      </w:r>
      <w:r>
        <w:t>The WVU groups implemented a re</w:t>
      </w:r>
      <w:r w:rsidRPr="00011C72">
        <w:t>designed control module based on an embedded microcontroller that can control 16 actuators, a typical GBT actuator grouping. Each module must command the movement of its actuators and read back each actuator’s position to close the control loop.</w:t>
      </w:r>
    </w:p>
    <w:p w14:paraId="24730609" w14:textId="77777777" w:rsidR="00EF66A6" w:rsidRPr="00011C72" w:rsidRDefault="00EF66A6" w:rsidP="00EF66A6">
      <w:r w:rsidRPr="00011C72">
        <w:t>The group demonstrated successful control of a single actuator to higher precision than the existing GBT system (&lt;10 microns vs the current spec of ~25</w:t>
      </w:r>
      <w:r>
        <w:t xml:space="preserve"> </w:t>
      </w:r>
      <w:r w:rsidRPr="00011C72">
        <w:t xml:space="preserve">microns). They also expanded the </w:t>
      </w:r>
      <w:r>
        <w:t xml:space="preserve">initial </w:t>
      </w:r>
      <w:r w:rsidRPr="00011C72">
        <w:t>single-actuator design into one that can</w:t>
      </w:r>
      <w:r>
        <w:t>,</w:t>
      </w:r>
      <w:r w:rsidRPr="00011C72">
        <w:t xml:space="preserve"> in theory</w:t>
      </w:r>
      <w:r>
        <w:t>,</w:t>
      </w:r>
      <w:r w:rsidRPr="00011C72">
        <w:t xml:space="preserve"> control 16 actuators. </w:t>
      </w:r>
    </w:p>
    <w:p w14:paraId="6BBB3E90" w14:textId="77777777" w:rsidR="00EF66A6" w:rsidRPr="00011C72" w:rsidRDefault="00EF66A6" w:rsidP="00EF66A6">
      <w:r w:rsidRPr="00011C72">
        <w:t>During FY2020, the designs were refined and a</w:t>
      </w:r>
      <w:r>
        <w:t>n initial</w:t>
      </w:r>
      <w:r w:rsidRPr="00011C72">
        <w:t xml:space="preserve"> costed plan developed. The building and testing of the 16</w:t>
      </w:r>
      <w:r>
        <w:t>-</w:t>
      </w:r>
      <w:r w:rsidRPr="00011C72">
        <w:t xml:space="preserve">module design along with packaging into an RFI-tight enclosure meeting Zone #1 emission specifications will be the next phase of the project. </w:t>
      </w:r>
      <w:r>
        <w:t>A</w:t>
      </w:r>
      <w:r w:rsidRPr="00011C72">
        <w:t xml:space="preserve">pproximately 320 modules (including spares) will be built for this project. </w:t>
      </w:r>
    </w:p>
    <w:p w14:paraId="095C1C77" w14:textId="77777777" w:rsidR="00EF66A6" w:rsidRDefault="00EF66A6" w:rsidP="00EF66A6">
      <w:r w:rsidRPr="00011C72">
        <w:t>Expected improvements from the planned upgrade design have been evaluated. Based on approximately 4,000 separate Argus observations taken between 2018 and 2020, the current actuator performance was quantified. An effective average surface error due to the current actuators is 58 microns corresponding to an efficiency factor of 0.953</w:t>
      </w:r>
      <w:r>
        <w:t>,</w:t>
      </w:r>
      <w:r w:rsidRPr="00011C72">
        <w:t xml:space="preserve"> in comparison to 1.0 if the actuators were perfect. Assuming the new proposed system reaches an error of 20 microns in commanding, then a 4.3% gain in efficiency would be achieved (efficiency factor of 0.9943), normalizing the observational results to 90 GHz. This would correspond to a 9% improvement in the observing time needed to reach the same point-source noise level. At 115 GHz, the improvement in observing time would be about 15%, assuming a 20-micron control capability in comparison to the current system.</w:t>
      </w:r>
    </w:p>
    <w:p w14:paraId="2DBCC857" w14:textId="77777777" w:rsidR="00EF66A6" w:rsidRPr="009254E0" w:rsidRDefault="00EF66A6" w:rsidP="00EF66A6">
      <w:pPr>
        <w:rPr>
          <w:spacing w:val="-4"/>
        </w:rPr>
      </w:pPr>
      <w:r w:rsidRPr="009254E0">
        <w:rPr>
          <w:spacing w:val="-4"/>
        </w:rPr>
        <w:t>In FY2021, the project went through a successful Conceptual Design Review. Following that review, the project plans and designs are being refined and detailed. Funding for the project has been requested of the NSF.</w:t>
      </w:r>
    </w:p>
    <w:p w14:paraId="3E5E738B" w14:textId="77777777" w:rsidR="00EF66A6" w:rsidRDefault="00EF66A6" w:rsidP="00EF66A6">
      <w:pPr>
        <w:pStyle w:val="Heading2"/>
      </w:pPr>
      <w:bookmarkStart w:id="442" w:name="_Toc83886152"/>
      <w:r>
        <w:t>Receivers</w:t>
      </w:r>
      <w:bookmarkEnd w:id="442"/>
    </w:p>
    <w:p w14:paraId="48836F57" w14:textId="77777777" w:rsidR="00EF66A6" w:rsidRPr="00AA7158" w:rsidRDefault="00EF66A6" w:rsidP="00EF66A6">
      <w:r>
        <w:t>The majority of work in this section is falls into routine maintenance. Only the exceptional activities to occur in FY2022 are listed here.</w:t>
      </w:r>
    </w:p>
    <w:p w14:paraId="75534042" w14:textId="77777777" w:rsidR="00EF66A6" w:rsidRPr="002234C4" w:rsidRDefault="00EF66A6" w:rsidP="00EF66A6">
      <w:pPr>
        <w:pStyle w:val="Heading3"/>
      </w:pPr>
      <w:r>
        <w:t xml:space="preserve">Receiver Room </w:t>
      </w:r>
    </w:p>
    <w:p w14:paraId="15D51426" w14:textId="77777777" w:rsidR="00EF66A6" w:rsidRDefault="00EF66A6" w:rsidP="00EF66A6">
      <w:r>
        <w:lastRenderedPageBreak/>
        <w:t>In FY2022, the weather/RFI seal for the turret rotator will be inspected for damage and, if damaged, a plan for repair/replacement will be made.  Additionally, the RFI seal on the receiver room door will be replaced.</w:t>
      </w:r>
    </w:p>
    <w:p w14:paraId="2A72A623" w14:textId="77777777" w:rsidR="00EF66A6" w:rsidRDefault="00EF66A6" w:rsidP="00EF66A6">
      <w:pPr>
        <w:pStyle w:val="Heading3"/>
      </w:pPr>
      <w:r>
        <w:t xml:space="preserve">Receiver Room Network </w:t>
      </w:r>
    </w:p>
    <w:p w14:paraId="0B5C4643" w14:textId="77777777" w:rsidR="00EF66A6" w:rsidRDefault="00EF66A6" w:rsidP="00EF66A6">
      <w:r>
        <w:t xml:space="preserve">The fiber network in the receiver room will be fully documented in FY2022, including all switches, fibers, etc. Once complete, a plan for removal of the 10 </w:t>
      </w:r>
      <w:proofErr w:type="spellStart"/>
      <w:r>
        <w:t>Gbs</w:t>
      </w:r>
      <w:proofErr w:type="spellEnd"/>
      <w:r>
        <w:t xml:space="preserve"> hardware will be developed.</w:t>
      </w:r>
    </w:p>
    <w:p w14:paraId="6E003EFF" w14:textId="77777777" w:rsidR="00EF66A6" w:rsidRDefault="00EF66A6" w:rsidP="00EF66A6">
      <w:pPr>
        <w:pStyle w:val="Heading3"/>
      </w:pPr>
      <w:r w:rsidRPr="00ED78D0">
        <w:t>X-Band Receiver Replacement:</w:t>
      </w:r>
    </w:p>
    <w:p w14:paraId="1A7DA17E" w14:textId="77777777" w:rsidR="00EF66A6" w:rsidRDefault="00EF66A6" w:rsidP="00EF66A6">
      <w:r>
        <w:t>In FY2020, the Electronics division undertook an internal project to replace the existing X-Band receiver which was becoming increasingly unreliable with a new design that replicates all of the existing X-Band receiver capabilities with a more reliable system and a wider (8–12 GHz) bandwidth, allowing for observations of spectral lines previously outside of the existing receiver’s frequency range. In FY2022, this receiver will enter the integration, test and commissioning phase, and will become the primary x-band receiver in FY2023. The successful completion of this project will also allow for the retirement of the last CTI 22 refrigerator.</w:t>
      </w:r>
    </w:p>
    <w:p w14:paraId="60A92521" w14:textId="77777777" w:rsidR="00EF66A6" w:rsidRDefault="00EF66A6" w:rsidP="00EF66A6">
      <w:pPr>
        <w:pStyle w:val="Heading2"/>
      </w:pPr>
      <w:bookmarkStart w:id="443" w:name="_Toc83886155"/>
      <w:r>
        <w:t>Documentation</w:t>
      </w:r>
      <w:bookmarkEnd w:id="443"/>
    </w:p>
    <w:p w14:paraId="54025255" w14:textId="77777777" w:rsidR="00EF66A6" w:rsidRDefault="00EF66A6" w:rsidP="00EF66A6">
      <w:r>
        <w:t>As is true with most operational facilities, there are significant holes in the documentation for the GBT. Solving all documentation issues is a broad, multi-year initiative. In FY2022, GBO will focus on ongoing development and high priority tasks to begin improving this situation. The following documentation areas will be addressed:</w:t>
      </w:r>
    </w:p>
    <w:p w14:paraId="781D5D91" w14:textId="77777777" w:rsidR="00EF66A6" w:rsidRDefault="00EF66A6" w:rsidP="00EF66A6">
      <w:pPr>
        <w:pStyle w:val="ListParagraph"/>
        <w:numPr>
          <w:ilvl w:val="0"/>
          <w:numId w:val="46"/>
        </w:numPr>
        <w:spacing w:line="240" w:lineRule="auto"/>
        <w:ind w:left="634"/>
      </w:pPr>
      <w:r>
        <w:t>Documentation of the new SCU system</w:t>
      </w:r>
    </w:p>
    <w:p w14:paraId="199B89F3" w14:textId="77777777" w:rsidR="00EF66A6" w:rsidRDefault="00EF66A6" w:rsidP="00EF66A6">
      <w:pPr>
        <w:pStyle w:val="ListParagraph"/>
        <w:numPr>
          <w:ilvl w:val="0"/>
          <w:numId w:val="46"/>
        </w:numPr>
        <w:spacing w:line="240" w:lineRule="auto"/>
        <w:ind w:left="634"/>
      </w:pPr>
      <w:r>
        <w:t>Documentation of the network hardware/fiber in the Receiver room</w:t>
      </w:r>
    </w:p>
    <w:p w14:paraId="7F07F5EE" w14:textId="77777777" w:rsidR="00EF66A6" w:rsidRDefault="00EF66A6" w:rsidP="00EF66A6">
      <w:pPr>
        <w:pStyle w:val="ListParagraph"/>
        <w:numPr>
          <w:ilvl w:val="0"/>
          <w:numId w:val="46"/>
        </w:numPr>
        <w:spacing w:line="240" w:lineRule="auto"/>
        <w:ind w:left="634"/>
      </w:pPr>
      <w:r>
        <w:t>Video documentation of a number of routine and complicated maintenance tasks</w:t>
      </w:r>
    </w:p>
    <w:p w14:paraId="6F72B6AD" w14:textId="77777777" w:rsidR="00EF66A6" w:rsidRDefault="00EF66A6" w:rsidP="00EF66A6">
      <w:pPr>
        <w:pStyle w:val="ListParagraph"/>
        <w:numPr>
          <w:ilvl w:val="0"/>
          <w:numId w:val="46"/>
        </w:numPr>
        <w:spacing w:line="240" w:lineRule="auto"/>
        <w:ind w:left="634"/>
      </w:pPr>
      <w:bookmarkStart w:id="444" w:name="_Hlk79329245"/>
      <w:r>
        <w:t>Documentation of the FITS files for the Argus and W-band receivers</w:t>
      </w:r>
    </w:p>
    <w:p w14:paraId="1ED6F792" w14:textId="77777777" w:rsidR="00EF66A6" w:rsidRDefault="00EF66A6" w:rsidP="00EF66A6">
      <w:pPr>
        <w:pStyle w:val="ListParagraph"/>
        <w:numPr>
          <w:ilvl w:val="0"/>
          <w:numId w:val="46"/>
        </w:numPr>
        <w:spacing w:line="240" w:lineRule="auto"/>
        <w:ind w:left="634"/>
      </w:pPr>
      <w:bookmarkStart w:id="445" w:name="_Hlk79329269"/>
      <w:bookmarkEnd w:id="444"/>
      <w:r>
        <w:t>Collecting all existing documentation on the Argus receiver from the collaboration team</w:t>
      </w:r>
    </w:p>
    <w:bookmarkEnd w:id="445"/>
    <w:p w14:paraId="37E46518" w14:textId="77777777" w:rsidR="00EF66A6" w:rsidRPr="009254E0" w:rsidRDefault="00EF66A6" w:rsidP="00EF66A6">
      <w:pPr>
        <w:pStyle w:val="ListParagraph"/>
        <w:numPr>
          <w:ilvl w:val="0"/>
          <w:numId w:val="46"/>
        </w:numPr>
        <w:spacing w:line="240" w:lineRule="auto"/>
        <w:ind w:left="634"/>
        <w:rPr>
          <w:spacing w:val="-4"/>
        </w:rPr>
      </w:pPr>
      <w:r w:rsidRPr="009254E0">
        <w:rPr>
          <w:spacing w:val="-4"/>
        </w:rPr>
        <w:t>Review, consolidate, and complete documentation of the subreflector actuator replacement techniques.</w:t>
      </w:r>
    </w:p>
    <w:p w14:paraId="50072761" w14:textId="77777777" w:rsidR="00EF66A6" w:rsidRDefault="00EF66A6" w:rsidP="00EF66A6">
      <w:pPr>
        <w:spacing w:after="320" w:line="257" w:lineRule="auto"/>
      </w:pPr>
      <w:r>
        <w:t>In addition, a new system for indexing documentation will be investigated.</w:t>
      </w:r>
    </w:p>
    <w:p w14:paraId="3D7E9007" w14:textId="77777777" w:rsidR="00EF66A6" w:rsidRDefault="00EF66A6" w:rsidP="00EF66A6">
      <w:pPr>
        <w:pStyle w:val="Heading2"/>
      </w:pPr>
      <w:bookmarkStart w:id="446" w:name="_Toc83886157"/>
      <w:r>
        <w:t>Site Infrastructure</w:t>
      </w:r>
      <w:bookmarkEnd w:id="446"/>
    </w:p>
    <w:p w14:paraId="3B682393" w14:textId="77777777" w:rsidR="00EF66A6" w:rsidRPr="00976045" w:rsidRDefault="00EF66A6" w:rsidP="00EF66A6">
      <w:r>
        <w:t>The majority of work in this section falls into routine maintenance. Only the exceptional activities to occur in FY2022 are listed here.</w:t>
      </w:r>
    </w:p>
    <w:p w14:paraId="25299FBC" w14:textId="77777777" w:rsidR="00EF66A6" w:rsidRDefault="00EF66A6" w:rsidP="00EF66A6">
      <w:pPr>
        <w:pStyle w:val="Heading3"/>
      </w:pPr>
      <w:r>
        <w:t>GBO</w:t>
      </w:r>
      <w:r w:rsidRPr="000E7828">
        <w:t xml:space="preserve"> Electrical System</w:t>
      </w:r>
    </w:p>
    <w:p w14:paraId="48E1C743" w14:textId="77777777" w:rsidR="00EF66A6" w:rsidRDefault="00EF66A6" w:rsidP="00EF66A6">
      <w:r w:rsidRPr="00EA444B">
        <w:t xml:space="preserve">The </w:t>
      </w:r>
      <w:r>
        <w:t>GBO</w:t>
      </w:r>
      <w:r w:rsidRPr="00EA444B">
        <w:t xml:space="preserve"> electrical distribution infrastructure is in the midst of a multi-year significant upgrade for reliability and safety. The 4160V distribution lines, transformers and switch gears are in process of being replaced with priority work on the most critical sections.</w:t>
      </w:r>
      <w:r>
        <w:t xml:space="preserve"> Specifically, the Jansky Laboratory and the 40-Foot Telescope power feed cables will be replaced due to age and concern of reliability.  </w:t>
      </w:r>
    </w:p>
    <w:p w14:paraId="18A6389F" w14:textId="77777777" w:rsidR="00EF66A6" w:rsidRDefault="00EF66A6" w:rsidP="00EF66A6">
      <w:r>
        <w:t>Additionally, all of the material required to complete the Cafeteria / Residence Hall electrical upgrade has been purchased.  The work will be scheduled Q1 FY2022.</w:t>
      </w:r>
    </w:p>
    <w:p w14:paraId="3BD6F917" w14:textId="77777777" w:rsidR="00EF66A6" w:rsidRDefault="00EF66A6" w:rsidP="00EF66A6">
      <w:r w:rsidRPr="00671F3D">
        <w:lastRenderedPageBreak/>
        <w:t xml:space="preserve">The transformer that serves the Works Area and Machine Shop </w:t>
      </w:r>
      <w:r>
        <w:t>is original to the</w:t>
      </w:r>
      <w:r w:rsidRPr="00671F3D">
        <w:t xml:space="preserve"> building was built</w:t>
      </w:r>
      <w:r>
        <w:t xml:space="preserve"> and is housed in the</w:t>
      </w:r>
      <w:r w:rsidRPr="00671F3D">
        <w:t xml:space="preserve"> Plumber / HVAC mechanics room. The works area is </w:t>
      </w:r>
      <w:r>
        <w:t>fully populated so the affected staff cannot be moved out of the area.</w:t>
      </w:r>
      <w:r w:rsidRPr="00671F3D">
        <w:t xml:space="preserve"> The Transformer that serves Cryo</w:t>
      </w:r>
      <w:r>
        <w:t xml:space="preserve">genics Lab, </w:t>
      </w:r>
      <w:r w:rsidRPr="00671F3D">
        <w:t>Warehouse</w:t>
      </w:r>
      <w:r>
        <w:t>, and Old Tour Center</w:t>
      </w:r>
      <w:r w:rsidRPr="00671F3D">
        <w:t xml:space="preserve"> is</w:t>
      </w:r>
      <w:r>
        <w:t xml:space="preserve"> also</w:t>
      </w:r>
      <w:r w:rsidRPr="00671F3D">
        <w:t xml:space="preserve"> aged </w:t>
      </w:r>
      <w:r>
        <w:t>and due for replacement</w:t>
      </w:r>
      <w:r w:rsidRPr="00671F3D">
        <w:t>.</w:t>
      </w:r>
      <w:r>
        <w:t xml:space="preserve"> GBO plans to install </w:t>
      </w:r>
      <w:r w:rsidRPr="00671F3D">
        <w:t>one large transformer outside and serve both buildings</w:t>
      </w:r>
      <w:r>
        <w:t>. A replacement plan and budget will be developed in FY2022</w:t>
      </w:r>
      <w:r w:rsidRPr="00671F3D">
        <w:t>.</w:t>
      </w:r>
      <w:r>
        <w:t xml:space="preserve"> A load study of the generator for the Jansky Lab Generator will be undertaken. The generator typically runs at 96% of its’ capacity during power failures during the summer months. The load study will develop a plan to shed noncritical load in the event of a commercial power failure, and will provide information to engineer a generator that will feed the entire building without a potential overload situation.</w:t>
      </w:r>
    </w:p>
    <w:p w14:paraId="411EAC37" w14:textId="77777777" w:rsidR="00EF66A6" w:rsidRDefault="00EF66A6" w:rsidP="00EF66A6">
      <w:pPr>
        <w:pStyle w:val="Heading3"/>
      </w:pPr>
      <w:r>
        <w:t>Fuel Tank Replacement</w:t>
      </w:r>
    </w:p>
    <w:p w14:paraId="50C1910C" w14:textId="77777777" w:rsidR="00EF66A6" w:rsidRDefault="00EF66A6" w:rsidP="00EF66A6">
      <w:r>
        <w:t xml:space="preserve">The fuel tank for the heating system for the Cryogenics and GBO warehouse requires replacement. </w:t>
      </w:r>
      <w:r w:rsidRPr="00671F3D">
        <w:t xml:space="preserve">The tank has been ordered but delivery is delayed due to COVID.  The old </w:t>
      </w:r>
      <w:r>
        <w:t>tank</w:t>
      </w:r>
      <w:r w:rsidRPr="00671F3D">
        <w:t xml:space="preserve"> will have to be removed from the ground and the soil will need to be tested prior to backfilling the hole. The removal and testing is scheduled for Sept</w:t>
      </w:r>
      <w:r>
        <w:t>ember</w:t>
      </w:r>
      <w:r w:rsidRPr="00671F3D">
        <w:t xml:space="preserve"> </w:t>
      </w:r>
      <w:r>
        <w:t>2021</w:t>
      </w:r>
      <w:r w:rsidRPr="00671F3D">
        <w:t xml:space="preserve">. </w:t>
      </w:r>
      <w:r>
        <w:t>An i</w:t>
      </w:r>
      <w:r w:rsidRPr="00645C03">
        <w:t>ndependent soil scientist with LTT Soil LLC</w:t>
      </w:r>
      <w:r>
        <w:t xml:space="preserve"> </w:t>
      </w:r>
      <w:r w:rsidRPr="00671F3D">
        <w:t xml:space="preserve">will </w:t>
      </w:r>
      <w:r>
        <w:t>visit GBO</w:t>
      </w:r>
      <w:r w:rsidRPr="00671F3D">
        <w:t xml:space="preserve"> to complete the fuel plume analysis and process the samples. The tank and contaminated soil will be removed from the ground.  The soil analysis will determine if additional soil will need to be removed and treated for fuel contamination.</w:t>
      </w:r>
      <w:r>
        <w:t xml:space="preserve"> Once the cleanup is complete the replacement tank will be installed. We anticipate this work completing in Q1 FY2022.</w:t>
      </w:r>
    </w:p>
    <w:p w14:paraId="2CE655BF" w14:textId="77777777" w:rsidR="00EF66A6" w:rsidRDefault="00EF66A6" w:rsidP="00EF66A6">
      <w:pPr>
        <w:pStyle w:val="Heading3"/>
      </w:pPr>
      <w:r>
        <w:t>Water Tank Improvements</w:t>
      </w:r>
    </w:p>
    <w:p w14:paraId="1B7458CE" w14:textId="77777777" w:rsidR="00EF66A6" w:rsidRDefault="00EF66A6" w:rsidP="00EF66A6">
      <w:r w:rsidRPr="00671F3D">
        <w:t>A list of immediate issues has been identified and</w:t>
      </w:r>
      <w:r>
        <w:t xml:space="preserve"> Environmental, Safety, and Security staff have</w:t>
      </w:r>
      <w:r w:rsidRPr="00671F3D">
        <w:t xml:space="preserve"> reviewed </w:t>
      </w:r>
      <w:r>
        <w:t>the list and</w:t>
      </w:r>
      <w:r w:rsidRPr="00671F3D">
        <w:t xml:space="preserve"> set a schedule for the list of items to be addressed. One of the items is replacement of the </w:t>
      </w:r>
      <w:r>
        <w:t>v</w:t>
      </w:r>
      <w:r w:rsidRPr="00671F3D">
        <w:t xml:space="preserve">ent on top of the tower. This will be a major undertaking </w:t>
      </w:r>
      <w:r>
        <w:t>with</w:t>
      </w:r>
      <w:r w:rsidRPr="00671F3D">
        <w:t xml:space="preserve"> a completion date </w:t>
      </w:r>
      <w:r>
        <w:t>not later than the end of FY2022</w:t>
      </w:r>
      <w:r w:rsidRPr="00671F3D">
        <w:t xml:space="preserve"> </w:t>
      </w:r>
      <w:r>
        <w:t>pending budgetary approval.</w:t>
      </w:r>
    </w:p>
    <w:p w14:paraId="016662C4" w14:textId="77777777" w:rsidR="00EF66A6" w:rsidRDefault="00EF66A6"/>
    <w:p w14:paraId="4EC5D57E" w14:textId="77777777" w:rsidR="002F780A" w:rsidRPr="00EA444B" w:rsidRDefault="002F780A" w:rsidP="002F780A">
      <w:pPr>
        <w:pStyle w:val="Heading2"/>
      </w:pPr>
      <w:bookmarkStart w:id="447" w:name="_Toc535936220"/>
      <w:bookmarkStart w:id="448" w:name="_Toc337153"/>
      <w:bookmarkStart w:id="449" w:name="_Toc83886138"/>
      <w:bookmarkStart w:id="450" w:name="_Toc83886143"/>
      <w:r>
        <w:t>E</w:t>
      </w:r>
      <w:r w:rsidRPr="00EA444B">
        <w:t>ducation and Public Outreach</w:t>
      </w:r>
      <w:bookmarkEnd w:id="447"/>
      <w:bookmarkEnd w:id="448"/>
      <w:bookmarkEnd w:id="449"/>
      <w:r w:rsidRPr="00EA444B">
        <w:t xml:space="preserve"> </w:t>
      </w:r>
    </w:p>
    <w:p w14:paraId="169C2BD3" w14:textId="77777777" w:rsidR="002F780A" w:rsidRDefault="002F780A" w:rsidP="002F780A">
      <w:r w:rsidRPr="00511338">
        <w:t xml:space="preserve">The Education and Public Outreach (EPO) division serves the strategic </w:t>
      </w:r>
      <w:r>
        <w:t>GBO</w:t>
      </w:r>
      <w:r w:rsidRPr="00511338">
        <w:t xml:space="preserve"> goal of broadening public appreciation of and participation in STEM. EPO develops cutting edge programs for youth that build STEM identity and self-efficacy, professional development workshops that prepare teachers to teach Next Generation Science Standards, and an engaging program for the public. EPO highlights the discoveries, technologies, and careers pioneered and exemplified by the Observatory via news releases, multimedia, and the Science Center. Many EPO projects require multi-division coordination. For instance, news articles and press releases are written in consultation with the science staff. EPO staff designs new web pages, but relies on science and engineering staff to develop content for those pages. Many of the youth-centered programs are enhanced through mentorship, as </w:t>
      </w:r>
      <w:r>
        <w:t>GBO</w:t>
      </w:r>
      <w:r w:rsidRPr="00511338">
        <w:t xml:space="preserve"> technical staff advise young scientists while they conduct observational projects with </w:t>
      </w:r>
      <w:r>
        <w:t>GBO</w:t>
      </w:r>
      <w:r w:rsidRPr="00511338">
        <w:t xml:space="preserve"> telescopes.</w:t>
      </w:r>
    </w:p>
    <w:p w14:paraId="004A0A75" w14:textId="77777777" w:rsidR="002F780A" w:rsidRDefault="002F780A" w:rsidP="002F780A">
      <w:r>
        <w:t>FY2022 should show the return of the varied operation programs and events, although it is expected that return to former operational levels will take time. Detailed descriptions of the EPO activities in FY2022 can be found in the Broader Impacts section.</w:t>
      </w:r>
    </w:p>
    <w:p w14:paraId="1037ECB1" w14:textId="1DF17A69" w:rsidR="00C95639" w:rsidRPr="00EA444B" w:rsidRDefault="00C95639" w:rsidP="00BE3952">
      <w:pPr>
        <w:pStyle w:val="Heading2"/>
      </w:pPr>
      <w:r w:rsidRPr="00EA444B">
        <w:t>News and Public Information</w:t>
      </w:r>
      <w:bookmarkEnd w:id="450"/>
    </w:p>
    <w:p w14:paraId="4C800F2D" w14:textId="4A303E03" w:rsidR="00C95639" w:rsidRDefault="00946154">
      <w:r>
        <w:lastRenderedPageBreak/>
        <w:t>GBO’s</w:t>
      </w:r>
      <w:r w:rsidR="00517269">
        <w:t xml:space="preserve"> </w:t>
      </w:r>
      <w:r w:rsidR="00C95639" w:rsidRPr="00DC311E">
        <w:t>Public Relations Specialist</w:t>
      </w:r>
      <w:r>
        <w:t xml:space="preserve"> provides</w:t>
      </w:r>
      <w:r w:rsidR="00C95639" w:rsidRPr="00DC311E">
        <w:t xml:space="preserve"> expertise </w:t>
      </w:r>
      <w:r>
        <w:t xml:space="preserve">in </w:t>
      </w:r>
      <w:r w:rsidR="00C95639" w:rsidRPr="00DC311E">
        <w:t>develop</w:t>
      </w:r>
      <w:r>
        <w:t>ing</w:t>
      </w:r>
      <w:r w:rsidR="00C95639" w:rsidRPr="00DC311E">
        <w:t xml:space="preserve"> a strategic communications plan and content to fulfill the communications goals of the Science Division and the Education and Public Outreach department and produce </w:t>
      </w:r>
      <w:r w:rsidRPr="00DC311E">
        <w:t>evidence-based</w:t>
      </w:r>
      <w:r w:rsidR="00C95639" w:rsidRPr="00DC311E">
        <w:t xml:space="preserve"> engagement with target audiences. </w:t>
      </w:r>
    </w:p>
    <w:p w14:paraId="2877AA0E" w14:textId="77777777" w:rsidR="00C95639" w:rsidRPr="00DC311E" w:rsidRDefault="00C95639">
      <w:r w:rsidRPr="00DC311E">
        <w:t xml:space="preserve">The communications plan identifies target audiences, including the specialist and professional scientific community along with amateur astronomers, students, families, and other tourists, and explains the mode of communications best for each audience and frequency, based on and responsive to data from analytics. </w:t>
      </w:r>
    </w:p>
    <w:p w14:paraId="32644402" w14:textId="443F40DD" w:rsidR="00C95639" w:rsidRPr="00D270B9" w:rsidRDefault="00C95639">
      <w:r w:rsidRPr="00D270B9">
        <w:t>The modes of communications include the Green Bank Observatory website, email communications, social media</w:t>
      </w:r>
      <w:r w:rsidR="009564A6">
        <w:t>, and streaming</w:t>
      </w:r>
      <w:r w:rsidRPr="00D270B9">
        <w:t xml:space="preserve"> platforms. The website content is updated on a weekly basis, as press releases are distributed, and other notable </w:t>
      </w:r>
      <w:r w:rsidR="009E4746">
        <w:t>GBO</w:t>
      </w:r>
      <w:r w:rsidR="009E4746" w:rsidRPr="00D270B9">
        <w:t xml:space="preserve"> </w:t>
      </w:r>
      <w:r w:rsidRPr="00D270B9">
        <w:t xml:space="preserve">media mentions are shared. Resources for the scientific and educational community, along with press kits, photos, videos, and other marketing materials, are also updated on a weekly basis on the website and other sharing platforms, significantly improving community access and engagement. </w:t>
      </w:r>
    </w:p>
    <w:p w14:paraId="7CA52F06" w14:textId="2D74D871" w:rsidR="00C95639" w:rsidRPr="00575A46" w:rsidRDefault="00C95639" w:rsidP="001812E3">
      <w:r w:rsidRPr="00575A46">
        <w:t xml:space="preserve">The process for producing, scheduling, and posting timely and responsive content for social media platforms has been professionalized by the Public Relations Specialist, who has the expertise and experience to maximize the use of these resources, even from the </w:t>
      </w:r>
      <w:r w:rsidR="00B71528" w:rsidRPr="00575A46">
        <w:t>NRQZ</w:t>
      </w:r>
      <w:r w:rsidRPr="00575A46">
        <w:t xml:space="preserve">. This includes the use of a social media content management system, which allows for the advanced scheduling and deployment of content across multiple platform at once, along with analytics, ensuring that content type (photo, graphic, video, meme, link, etc.), date, and time are strategically chosen for maximum target audience engagement. </w:t>
      </w:r>
      <w:r w:rsidR="00B71528" w:rsidRPr="00575A46">
        <w:t>I</w:t>
      </w:r>
      <w:r w:rsidRPr="00575A46">
        <w:t xml:space="preserve">n </w:t>
      </w:r>
      <w:r w:rsidR="00B71528" w:rsidRPr="00575A46">
        <w:t>FY</w:t>
      </w:r>
      <w:r w:rsidRPr="00575A46">
        <w:t>202</w:t>
      </w:r>
      <w:r w:rsidR="00DF391F">
        <w:t>1</w:t>
      </w:r>
      <w:r w:rsidR="00B71528" w:rsidRPr="00575A46">
        <w:t>,</w:t>
      </w:r>
      <w:r w:rsidRPr="00575A46">
        <w:t xml:space="preserve"> this resulted in scientific training workshops filling to capacity well in advance of their deadlines, and the need to create waitlists. </w:t>
      </w:r>
    </w:p>
    <w:p w14:paraId="60A5A273" w14:textId="77777777" w:rsidR="00C95639" w:rsidRPr="00575A46" w:rsidRDefault="00C95639" w:rsidP="001812E3">
      <w:r w:rsidRPr="00F46F45">
        <w:t>An annual calendar identifies dates for AAS and other conferences, GBO and partner workshops, proposal calls, EPO programs, and other special events</w:t>
      </w:r>
      <w:r w:rsidRPr="0084665E">
        <w:t>,</w:t>
      </w:r>
      <w:r w:rsidRPr="00575A46">
        <w:t xml:space="preserve"> organizing the design, production, distribution, and evaluation process for marketing and promotional materials. A strategic communications campaign is created for each project, for example, for the AAS conferences extensive planning for content creation and use of the conference hashtag resulted in a significant increase in website traffic to access resources for the astronomical community. </w:t>
      </w:r>
    </w:p>
    <w:p w14:paraId="76CD5B6F" w14:textId="4FE50BD1" w:rsidR="00C95639" w:rsidRPr="007833DF" w:rsidRDefault="009E4746">
      <w:pPr>
        <w:rPr>
          <w:spacing w:val="-2"/>
        </w:rPr>
      </w:pPr>
      <w:r w:rsidRPr="007833DF">
        <w:rPr>
          <w:spacing w:val="-2"/>
        </w:rPr>
        <w:t>GBO</w:t>
      </w:r>
      <w:r w:rsidR="00C95639" w:rsidRPr="007833DF">
        <w:rPr>
          <w:spacing w:val="-2"/>
        </w:rPr>
        <w:t xml:space="preserve"> takes advantage of an extensive network for distribution of press releases. </w:t>
      </w:r>
      <w:r w:rsidRPr="007833DF">
        <w:rPr>
          <w:spacing w:val="-2"/>
        </w:rPr>
        <w:t>GBO</w:t>
      </w:r>
      <w:r w:rsidR="00C95639" w:rsidRPr="007833DF">
        <w:rPr>
          <w:spacing w:val="-2"/>
        </w:rPr>
        <w:t xml:space="preserve"> will continue to distribute news via the NSF, American Astronomical Society (AAS), the American Association for the Advancement of Science (AAAS), and commercial newswire services. </w:t>
      </w:r>
      <w:r w:rsidRPr="007833DF">
        <w:rPr>
          <w:spacing w:val="-2"/>
        </w:rPr>
        <w:t>GBO</w:t>
      </w:r>
      <w:r w:rsidR="00C95639" w:rsidRPr="007833DF">
        <w:rPr>
          <w:spacing w:val="-2"/>
        </w:rPr>
        <w:t xml:space="preserve"> will also continue to target at least one special session each at AAS and AAAS meetings to provide information and news regarding </w:t>
      </w:r>
      <w:r w:rsidRPr="007833DF">
        <w:rPr>
          <w:spacing w:val="-2"/>
        </w:rPr>
        <w:t>GBO</w:t>
      </w:r>
      <w:r w:rsidR="00C95639" w:rsidRPr="007833DF">
        <w:rPr>
          <w:spacing w:val="-2"/>
        </w:rPr>
        <w:t xml:space="preserve">. </w:t>
      </w:r>
      <w:r w:rsidRPr="007833DF">
        <w:rPr>
          <w:spacing w:val="-2"/>
        </w:rPr>
        <w:t>GBO</w:t>
      </w:r>
      <w:r w:rsidR="00C95639" w:rsidRPr="007833DF">
        <w:rPr>
          <w:spacing w:val="-2"/>
        </w:rPr>
        <w:t xml:space="preserve"> will sponsor a booth </w:t>
      </w:r>
      <w:r w:rsidR="009A70CA" w:rsidRPr="007833DF">
        <w:rPr>
          <w:spacing w:val="-2"/>
        </w:rPr>
        <w:t xml:space="preserve">(in person or virtual) </w:t>
      </w:r>
      <w:r w:rsidR="00C95639" w:rsidRPr="007833DF">
        <w:rPr>
          <w:spacing w:val="-2"/>
        </w:rPr>
        <w:t xml:space="preserve">at each AAS meeting as well as at other major astronomy events (e.g. URSI General Assembly) to provide information to the scientific public about our facility. </w:t>
      </w:r>
    </w:p>
    <w:p w14:paraId="24732D2C" w14:textId="34836575" w:rsidR="00C95639" w:rsidRPr="00575A46" w:rsidRDefault="00343867">
      <w:r>
        <w:t>GBO</w:t>
      </w:r>
      <w:r w:rsidR="00C95639" w:rsidRPr="00575A46">
        <w:t xml:space="preserve"> produces a scientific newsletter several times a year, including two special editions released at the January and June AAS conference, and two mini newsletters in advance of the August GBT Proposal Call and fall workshops. This newsletter links extensively to GBO scientific resources, driving traffic to the website, and provides updates on the GBT and the site as well as information about new staff, proposal calls, new instruments, and recent scientific discoveries. The </w:t>
      </w:r>
      <w:r>
        <w:t xml:space="preserve">GBO </w:t>
      </w:r>
      <w:r w:rsidR="00C95639" w:rsidRPr="00575A46">
        <w:t xml:space="preserve">Public Relations Specialist also produces a comprehensive Facilities Booklet, outlining the history, achievements, and resources available on site for </w:t>
      </w:r>
      <w:r w:rsidR="00C95639" w:rsidRPr="007833DF">
        <w:rPr>
          <w:spacing w:val="-2"/>
        </w:rPr>
        <w:t>scientific research projects and educational programs. This booklet is a full-color, 16-page publication available in print for distribution at conferences or workshops, and as a PDF for download from the website, or email. It is a useful document for marketing new business partnerships, advocacy, and education.</w:t>
      </w:r>
    </w:p>
    <w:p w14:paraId="6C181403" w14:textId="40527D5E" w:rsidR="00C95639" w:rsidRDefault="00343867">
      <w:pPr>
        <w:rPr>
          <w:b/>
        </w:rPr>
      </w:pPr>
      <w:r>
        <w:lastRenderedPageBreak/>
        <w:t>GBO</w:t>
      </w:r>
      <w:r w:rsidR="00C95639" w:rsidRPr="00575A46">
        <w:t xml:space="preserve"> receives multiple requests each month from news and media representatives, documentary producers, photographers, writers, and vloggers. These requests are vetted by the Public Relations Specialist, who coordinates their shoots if approved, including crew security screenings, matching crews with staff for stories, escorting them on the grounds for shoots, or sharing photo and video resources with them for projects. All noteworthy media mentions of </w:t>
      </w:r>
      <w:r>
        <w:t>GBO</w:t>
      </w:r>
      <w:r w:rsidR="00C95639" w:rsidRPr="00575A46">
        <w:t xml:space="preserve"> are documented in an annual log, along with requests for interviews, photos, and videos.</w:t>
      </w:r>
      <w:r w:rsidR="00AD7B4F">
        <w:rPr>
          <w:b/>
        </w:rPr>
        <w:t xml:space="preserve"> </w:t>
      </w:r>
    </w:p>
    <w:p w14:paraId="642AC03F" w14:textId="77777777" w:rsidR="00EF66A6" w:rsidRPr="00CC0357" w:rsidRDefault="00EF66A6" w:rsidP="00EF66A6">
      <w:pPr>
        <w:pStyle w:val="Heading2"/>
      </w:pPr>
      <w:bookmarkStart w:id="451" w:name="_Toc535936393"/>
      <w:bookmarkStart w:id="452" w:name="_Toc337158"/>
      <w:bookmarkStart w:id="453" w:name="_Toc83886140"/>
      <w:r w:rsidRPr="00CC0357">
        <w:t>Program Management</w:t>
      </w:r>
      <w:bookmarkEnd w:id="451"/>
      <w:bookmarkEnd w:id="452"/>
      <w:bookmarkEnd w:id="453"/>
    </w:p>
    <w:p w14:paraId="571E233A" w14:textId="77777777" w:rsidR="00EF66A6" w:rsidRDefault="00EF66A6" w:rsidP="00EF66A6">
      <w:r w:rsidRPr="00575A46">
        <w:t>Program management is the application of internationally</w:t>
      </w:r>
      <w:r>
        <w:t xml:space="preserve"> </w:t>
      </w:r>
      <w:r w:rsidRPr="00575A46">
        <w:t xml:space="preserve">recognized knowledge, skills, tools, and techniques to a portfolio of Observatory strategic planning activities, business initiatives, and projects to meet AUI and </w:t>
      </w:r>
      <w:r>
        <w:t>GBO</w:t>
      </w:r>
      <w:r w:rsidRPr="00575A46">
        <w:t xml:space="preserve">’s objectives. Green Bank’s Program Management Department (PMD) defines and implements the processes used to achieve successful programmatic outcomes. The PMD staff adhere to project management and systems engineering best practices as defined by the Project Management Institute (PMI), International Council on Systems Engineering (INCOSE), and Scrum Alliance and hold professional credentials from those organizations. </w:t>
      </w:r>
    </w:p>
    <w:p w14:paraId="3A3A48F4" w14:textId="77777777" w:rsidR="00EF66A6" w:rsidRDefault="00EF66A6" w:rsidP="00EF66A6">
      <w:r w:rsidRPr="00A65406">
        <w:t xml:space="preserve">PMD supports each of the GBO departments in the implementation and continuous improvement of Program Management operations, Proposal Development, Project Management (PM), and Systems Engineering (SE) practices, which includes the process, tools, and techniques described by GBO PMD Standard Operating Procedures (SOP). PMD staff are responsible for PM/SE implementation and often function as the project manager and/or systems engineer in internal and external WFO projects. Furthermore, PMD supports required reporting, Observatory-wide risk management, interface between budget and Contracts and Procurement, and other related activities as requested. </w:t>
      </w:r>
    </w:p>
    <w:p w14:paraId="690D8D28" w14:textId="77777777" w:rsidR="00EF66A6" w:rsidRPr="00C93C12" w:rsidRDefault="00EF66A6" w:rsidP="00EF66A6">
      <w:pPr>
        <w:pStyle w:val="Heading3"/>
      </w:pPr>
      <w:bookmarkStart w:id="454" w:name="_Toc485369569"/>
      <w:bookmarkStart w:id="455" w:name="_Toc43805674"/>
      <w:r w:rsidRPr="00C93C12">
        <w:t xml:space="preserve">Program Management </w:t>
      </w:r>
      <w:bookmarkEnd w:id="454"/>
      <w:r w:rsidRPr="00C93C12">
        <w:t>Office Operations</w:t>
      </w:r>
      <w:bookmarkEnd w:id="455"/>
    </w:p>
    <w:p w14:paraId="47ED338A" w14:textId="77777777" w:rsidR="00EF66A6" w:rsidRPr="000A1559" w:rsidRDefault="00EF66A6" w:rsidP="00EF66A6">
      <w:pPr>
        <w:rPr>
          <w:spacing w:val="-2"/>
        </w:rPr>
      </w:pPr>
      <w:r w:rsidRPr="000A1559">
        <w:rPr>
          <w:spacing w:val="-2"/>
        </w:rPr>
        <w:t>PMD ensures that standardized practices are applied consistently across GBO to improve outcomes, manage and control costs, schedules, scope, and risks while adhering to a code of ethics for professional conduct. Common standards provide transparency and uniformity in programmatic and project-specific oversight, communications, and reporting. PMD staff use documented Standard Operating Procedures (SOPs) and templates for projects with PMD engagement. A growing library of completed projects with their SOPs and other documentation has helped to establish best practices for guidance with future efforts. SOPs are living documents and they will mature through continuous improvement processes. PMD will continue to revise the SOPs and templates to incorporate new processes and industry-standard best practices.</w:t>
      </w:r>
    </w:p>
    <w:p w14:paraId="71DF0035" w14:textId="77777777" w:rsidR="00EF66A6" w:rsidRPr="00EA444B" w:rsidRDefault="00EF66A6" w:rsidP="00EF66A6">
      <w:r w:rsidRPr="00EA444B">
        <w:t xml:space="preserve">The PMD team facilitates business process improvement initiatives to gain efficiencies in service and technical processes using program management frameworks such as Agile and Lean. As </w:t>
      </w:r>
      <w:r>
        <w:t>GBO</w:t>
      </w:r>
      <w:r w:rsidRPr="00EA444B">
        <w:t xml:space="preserve"> continues to evolve its stand-alone processes, it must continuously improve its ability to deliver high-quality services as quickly and economically as possible. </w:t>
      </w:r>
      <w:r>
        <w:t>GBO</w:t>
      </w:r>
      <w:r w:rsidRPr="00EA444B">
        <w:t>’s proposal development and contracting life cycle is one such inter-departmental and inter-</w:t>
      </w:r>
      <w:r>
        <w:t>O</w:t>
      </w:r>
      <w:r w:rsidRPr="00EA444B">
        <w:t xml:space="preserve">bservatory process that has benefited already from continuous improvement initiatives. For example, </w:t>
      </w:r>
      <w:r>
        <w:t>GBO</w:t>
      </w:r>
      <w:r w:rsidRPr="00EA444B">
        <w:t xml:space="preserve">’s process for securing and processing small 20-Meter telescope time sales has been streamlined significantly. </w:t>
      </w:r>
    </w:p>
    <w:p w14:paraId="1317F19C" w14:textId="77777777" w:rsidR="00EF66A6" w:rsidRPr="00EA444B" w:rsidRDefault="00EF66A6" w:rsidP="00EF66A6">
      <w:r w:rsidRPr="00EA444B">
        <w:t xml:space="preserve">PMD provides project management and systems engineering oversight of </w:t>
      </w:r>
      <w:r>
        <w:t>GBO</w:t>
      </w:r>
      <w:r w:rsidRPr="00EA444B">
        <w:t xml:space="preserve"> research and development initiatives and projects involving the development or production of products and services to external organizations. This includes management coordination for broader impact and educational initiatives. </w:t>
      </w:r>
      <w:r w:rsidRPr="00EA444B">
        <w:lastRenderedPageBreak/>
        <w:t xml:space="preserve">Typically, grant-funded projects cover </w:t>
      </w:r>
      <w:r>
        <w:t>an appropriate</w:t>
      </w:r>
      <w:r w:rsidRPr="00EA444B">
        <w:t xml:space="preserve"> allocation of program management staff assigned to ensure their proper delivery.</w:t>
      </w:r>
    </w:p>
    <w:p w14:paraId="189CA6FF" w14:textId="77777777" w:rsidR="00EF66A6" w:rsidRDefault="00EF66A6" w:rsidP="00EF66A6">
      <w:r w:rsidRPr="00EA444B">
        <w:t xml:space="preserve">Working with the Director and </w:t>
      </w:r>
      <w:r>
        <w:t>GBO</w:t>
      </w:r>
      <w:r w:rsidRPr="00EA444B">
        <w:t xml:space="preserve"> management team, PMD also develops </w:t>
      </w:r>
      <w:r>
        <w:t>GBO</w:t>
      </w:r>
      <w:r w:rsidRPr="00EA444B">
        <w:t xml:space="preserve">-wide documentation and deliverables, including program operating plans, long range plans, quarterly and annual performance reports, as well as program and grant documentation. </w:t>
      </w:r>
    </w:p>
    <w:p w14:paraId="4CBF3663" w14:textId="77777777" w:rsidR="00EF66A6" w:rsidRPr="00A65406" w:rsidRDefault="00EF66A6" w:rsidP="00EF66A6">
      <w:pPr>
        <w:pStyle w:val="Heading3"/>
      </w:pPr>
      <w:r w:rsidRPr="00A65406">
        <w:t>Proposal Development</w:t>
      </w:r>
    </w:p>
    <w:p w14:paraId="5E96652E" w14:textId="77777777" w:rsidR="00EF66A6" w:rsidRPr="00A65406" w:rsidRDefault="00EF66A6" w:rsidP="00EF66A6">
      <w:r w:rsidRPr="00A65406">
        <w:t xml:space="preserve">PMD supports all GBO departments in proposal development, including construction/production projects, research and development projects, and others in which PMD involvement is requested. PMD support includes leadership, coordination, and assistance in achieving SOP compliance. Deliverables from the proposal phase include a statement of work, budget, risk register, and export control documents. This effort gains internal alignment and project approval prior to project initiation. PMD also ensures that inter-observatory policies are adhered to for collaborations involving NRAO. </w:t>
      </w:r>
    </w:p>
    <w:p w14:paraId="4AB48128" w14:textId="77777777" w:rsidR="00EF66A6" w:rsidRDefault="00EF66A6" w:rsidP="00EF66A6">
      <w:pPr>
        <w:pStyle w:val="Heading2"/>
      </w:pPr>
      <w:bookmarkStart w:id="456" w:name="_Toc78184084"/>
      <w:bookmarkStart w:id="457" w:name="_Toc79135977"/>
      <w:bookmarkStart w:id="458" w:name="_Toc78184085"/>
      <w:bookmarkStart w:id="459" w:name="_Toc79135978"/>
      <w:bookmarkStart w:id="460" w:name="_Toc83886141"/>
      <w:bookmarkEnd w:id="456"/>
      <w:bookmarkEnd w:id="457"/>
      <w:bookmarkEnd w:id="458"/>
      <w:bookmarkEnd w:id="459"/>
      <w:r>
        <w:t>Business</w:t>
      </w:r>
      <w:bookmarkEnd w:id="460"/>
    </w:p>
    <w:p w14:paraId="09CBC782" w14:textId="77777777" w:rsidR="00EF66A6" w:rsidRDefault="00EF66A6" w:rsidP="00EF66A6">
      <w:r w:rsidRPr="00EA444B">
        <w:t>Responsibility for the business needs of the site, care of the occupants of the buildings, facilities, and site housing rests within this division. Business Services</w:t>
      </w:r>
      <w:r>
        <w:t xml:space="preserve">, working with Plant Maintenance, </w:t>
      </w:r>
      <w:r w:rsidRPr="00EA444B">
        <w:t>is responsible for carrying out Green Bank’s commitment to sustainability, an NSF priority for its facilities. As such, the group works to find avenues of operation that reduce waste and cost to the facility. For instance, the cafeteria and café operations will continue to evaluate the use of paper and plastic products and convert, where possible, to recycled and verified re-used products in their respective areas. Recycling programs have been instituted and through the next several years the business team will continue to evaluate the capability of the recycling efforts to expand mitigation of the waste stream.</w:t>
      </w:r>
      <w:r>
        <w:t xml:space="preserve"> Business is also responsible for the site budget and accounting.</w:t>
      </w:r>
    </w:p>
    <w:p w14:paraId="69B16FE2" w14:textId="77777777" w:rsidR="00EF66A6" w:rsidRDefault="00EF66A6" w:rsidP="00EF66A6"/>
    <w:p w14:paraId="571E3101" w14:textId="77777777" w:rsidR="00EF66A6" w:rsidRDefault="00EF66A6" w:rsidP="00EF66A6"/>
    <w:p w14:paraId="3C4ACF87" w14:textId="77777777" w:rsidR="00EF66A6" w:rsidRPr="00EA444B" w:rsidRDefault="00EF66A6" w:rsidP="00EF66A6">
      <w:pPr>
        <w:pStyle w:val="Heading3"/>
      </w:pPr>
      <w:bookmarkStart w:id="461" w:name="_Toc337160"/>
      <w:r w:rsidRPr="00EA444B">
        <w:t>Administration</w:t>
      </w:r>
      <w:bookmarkEnd w:id="461"/>
    </w:p>
    <w:p w14:paraId="1D08318E" w14:textId="77777777" w:rsidR="00EF66A6" w:rsidRPr="00EA444B" w:rsidRDefault="00EF66A6" w:rsidP="00EF66A6">
      <w:r w:rsidRPr="00EA444B">
        <w:t xml:space="preserve">The Business Services division provides staffing and resources for all necessary business processes for the operations of the facility. These include, but are not limited to, invoice processing, cash receipts, billing services, credit card processing, employee relocation, clerical support, vehicle fleet management, inventory control, reservation and on-site activity management, educational program support, food services for employees, visitors, and workshops, mail services, </w:t>
      </w:r>
      <w:r>
        <w:t xml:space="preserve">and </w:t>
      </w:r>
      <w:r w:rsidRPr="00EA444B">
        <w:t>shipping and receiving. The number of personnel in the Business Services group is dictated, in part, by audit requirements to ensure the proper handling of processes and the checks and balances required.</w:t>
      </w:r>
    </w:p>
    <w:p w14:paraId="5E61E150" w14:textId="77777777" w:rsidR="00EF66A6" w:rsidRPr="00EA444B" w:rsidRDefault="00EF66A6" w:rsidP="00EF66A6">
      <w:r w:rsidRPr="00EA444B">
        <w:t xml:space="preserve">Business Services manages policy development and compliance for </w:t>
      </w:r>
      <w:r>
        <w:t>GBO</w:t>
      </w:r>
      <w:r w:rsidRPr="00EA444B">
        <w:t xml:space="preserve"> as a wholly owned federal facility including Federal Real Property reporting, energy management reporting, FAST vehicle reporting, Government-owned property control and fleet management, and compliance with the Cost Principles for Federal Grants 2 CFR Part 200.</w:t>
      </w:r>
    </w:p>
    <w:p w14:paraId="6C0D93E6" w14:textId="77777777" w:rsidR="00EF66A6" w:rsidRPr="00EA444B" w:rsidRDefault="00EF66A6" w:rsidP="00EF66A6">
      <w:r w:rsidRPr="00EA444B">
        <w:t xml:space="preserve">As part of the overall site land management philosophy, </w:t>
      </w:r>
      <w:r>
        <w:t>GBO</w:t>
      </w:r>
      <w:r w:rsidRPr="00EA444B">
        <w:t xml:space="preserve"> works with several external entities and government organizations on different projects and programs. Under the auspices of the West Virginia </w:t>
      </w:r>
      <w:r w:rsidRPr="00EA444B">
        <w:lastRenderedPageBreak/>
        <w:t>Division of Natural Resources</w:t>
      </w:r>
      <w:r>
        <w:t xml:space="preserve"> (WVDNR)</w:t>
      </w:r>
      <w:r w:rsidRPr="00EA444B">
        <w:t xml:space="preserve">, </w:t>
      </w:r>
      <w:r>
        <w:t>GBO</w:t>
      </w:r>
      <w:r w:rsidRPr="00EA444B">
        <w:t xml:space="preserve"> holds a controlled deer hunt in the fall. The purpose of this hunt is to control the deer population within a sustainable level as recommended by the food availability of the site. This population control allows diversity of species in the wildlife population on site, both in fauna and flora. </w:t>
      </w:r>
      <w:r>
        <w:t>GBO</w:t>
      </w:r>
      <w:r w:rsidRPr="00EA444B">
        <w:t xml:space="preserve"> has entered a sustainability phase of control and anticipate</w:t>
      </w:r>
      <w:r>
        <w:t>s</w:t>
      </w:r>
      <w:r w:rsidRPr="00EA444B">
        <w:t xml:space="preserve"> that the hunt will </w:t>
      </w:r>
      <w:r>
        <w:t>not be</w:t>
      </w:r>
      <w:r w:rsidRPr="00EA444B">
        <w:t xml:space="preserve"> held in </w:t>
      </w:r>
      <w:r>
        <w:t>FY</w:t>
      </w:r>
      <w:r w:rsidRPr="00EA444B">
        <w:t>202</w:t>
      </w:r>
      <w:r>
        <w:t>2, based on a WVDNR determination of need.</w:t>
      </w:r>
    </w:p>
    <w:p w14:paraId="5FEFD697" w14:textId="77777777" w:rsidR="00EF66A6" w:rsidRPr="00EA444B" w:rsidRDefault="00EF66A6" w:rsidP="00EF66A6">
      <w:r w:rsidRPr="00EA444B">
        <w:t xml:space="preserve">Working with the National Forest Service, </w:t>
      </w:r>
      <w:r>
        <w:t>GBO</w:t>
      </w:r>
      <w:r w:rsidRPr="00EA444B">
        <w:t xml:space="preserve"> has become a trailhead for the Allegheny Trail, a subsection of the Appalachian Trail system. Approximately 10,000 acres of National Forest lies to the west of the site and </w:t>
      </w:r>
      <w:r>
        <w:t>GBO</w:t>
      </w:r>
      <w:r w:rsidRPr="00EA444B">
        <w:t xml:space="preserve"> property fronts that section of </w:t>
      </w:r>
      <w:r>
        <w:t>f</w:t>
      </w:r>
      <w:r w:rsidRPr="00EA444B">
        <w:t xml:space="preserve">orest. Access to the trail system is part of an ongoing effort for the </w:t>
      </w:r>
      <w:r>
        <w:t>c</w:t>
      </w:r>
      <w:r w:rsidRPr="00EA444B">
        <w:t xml:space="preserve">ounty to become a hiking and mountain bike center for the </w:t>
      </w:r>
      <w:r>
        <w:t>s</w:t>
      </w:r>
      <w:r w:rsidRPr="00EA444B">
        <w:t xml:space="preserve">tate of West Virginia. As such, the participation of </w:t>
      </w:r>
      <w:r>
        <w:t>GBO</w:t>
      </w:r>
      <w:r w:rsidRPr="00EA444B">
        <w:t xml:space="preserve"> in this program has increased tourism in the area and to the site, allowing </w:t>
      </w:r>
      <w:r>
        <w:t>GBO</w:t>
      </w:r>
      <w:r w:rsidRPr="00EA444B">
        <w:t xml:space="preserve"> to increase participation in its public education programs. As part of this project, the Forest Service has provided signage to </w:t>
      </w:r>
      <w:r>
        <w:t>GBO,</w:t>
      </w:r>
      <w:r w:rsidRPr="00EA444B">
        <w:t xml:space="preserve"> which allows it to emphasize its programs and educate the public about the quiet zones and the needs of </w:t>
      </w:r>
      <w:r>
        <w:t>GBO</w:t>
      </w:r>
      <w:r w:rsidRPr="00EA444B">
        <w:t xml:space="preserve"> to maintain a low radio frequency noise environment.</w:t>
      </w:r>
    </w:p>
    <w:p w14:paraId="0F083866" w14:textId="77777777" w:rsidR="00EF66A6" w:rsidRPr="00EA444B" w:rsidRDefault="00EF66A6" w:rsidP="00EF66A6">
      <w:pPr>
        <w:pStyle w:val="Heading3"/>
      </w:pPr>
      <w:r w:rsidRPr="00EA444B">
        <w:t xml:space="preserve"> </w:t>
      </w:r>
      <w:bookmarkStart w:id="462" w:name="_Toc337161"/>
      <w:r w:rsidRPr="00EA444B">
        <w:t>Visitor Services</w:t>
      </w:r>
      <w:bookmarkEnd w:id="462"/>
    </w:p>
    <w:p w14:paraId="496856DA" w14:textId="77777777" w:rsidR="00EF66A6" w:rsidRDefault="00EF66A6" w:rsidP="00EF66A6">
      <w:pPr>
        <w:rPr>
          <w:rFonts w:cs="Calibri"/>
        </w:rPr>
      </w:pPr>
      <w:r w:rsidRPr="00EA444B">
        <w:t xml:space="preserve">The Green Bank site hosts 23 houses, 5 townhouses, 4 apartments, a dormitory that sleeps up to 60 students, 16 hotel-style rooms, a cafeteria that can serve up to 100 people in one sitting, a smaller café, 3 classrooms, and 2 auditoriums. </w:t>
      </w:r>
      <w:r w:rsidRPr="005872C3">
        <w:t>Currently all housing is in use by the site-resident staff and long-term visitors, but when available can be used for short-term visits</w:t>
      </w:r>
      <w:r w:rsidRPr="00EA444B">
        <w:t xml:space="preserve">. Business Services manages the reservations, staffing, and operations of all visitor services. </w:t>
      </w:r>
      <w:r w:rsidRPr="00EA444B">
        <w:rPr>
          <w:rFonts w:cs="Calibri"/>
        </w:rPr>
        <w:t>The housing and other facilities make the Green Bank site an excellent location for small scientific workshops and serve to house visitors to take part in research, development, and educational activities. Usage of these facilities is high and availability of space limits the ability to schedule multiple events simultaneously. Having student and teacher visitors on site concurrent with scientific and engineering workshops creates a valuable environment for introducing future scientists and engineers to various disciplines and leaders in the field.</w:t>
      </w:r>
    </w:p>
    <w:p w14:paraId="347DE50D" w14:textId="77777777" w:rsidR="00EF66A6" w:rsidRPr="00EA444B" w:rsidRDefault="00EF66A6" w:rsidP="00EF66A6">
      <w:pPr>
        <w:pStyle w:val="Heading3"/>
      </w:pPr>
      <w:r w:rsidRPr="00EA444B">
        <w:t>Budget</w:t>
      </w:r>
    </w:p>
    <w:p w14:paraId="37A058FD" w14:textId="23026E06" w:rsidR="00EF66A6" w:rsidRPr="00EF66A6" w:rsidRDefault="00EF66A6">
      <w:r w:rsidRPr="00EA444B">
        <w:t xml:space="preserve">The Budget division plans, forecasts, and reports the program expenditures of </w:t>
      </w:r>
      <w:r>
        <w:t>GBO</w:t>
      </w:r>
      <w:r w:rsidRPr="00EA444B">
        <w:t xml:space="preserve"> within the scope of the cooperative agreement and other funding contracts, per all applicable regulations. </w:t>
      </w:r>
      <w:r>
        <w:t>GBO’s</w:t>
      </w:r>
      <w:r w:rsidRPr="00EA444B">
        <w:t xml:space="preserve"> Budget Manager works with all Observatory divisions to understand their respective operations in depth and to deliver analyses tailored to the divisional needs. In addition, </w:t>
      </w:r>
      <w:r>
        <w:t>GBO</w:t>
      </w:r>
      <w:r w:rsidRPr="00EA444B">
        <w:t xml:space="preserve"> has a service level agreement with NRAO for budgetary oversight, review, and analysis (see Section </w:t>
      </w:r>
      <w:r>
        <w:t>6.14)</w:t>
      </w:r>
      <w:r w:rsidRPr="00EA444B">
        <w:t xml:space="preserve">. </w:t>
      </w:r>
    </w:p>
    <w:p w14:paraId="0C048D53" w14:textId="56DF3942" w:rsidR="00985B8B" w:rsidRPr="00EA444B" w:rsidRDefault="00985B8B" w:rsidP="00BE3952">
      <w:pPr>
        <w:pStyle w:val="Heading2"/>
      </w:pPr>
      <w:bookmarkStart w:id="463" w:name="_Toc2078315"/>
      <w:bookmarkStart w:id="464" w:name="_Toc2078316"/>
      <w:bookmarkStart w:id="465" w:name="_Toc2326157"/>
      <w:bookmarkStart w:id="466" w:name="_Toc269567"/>
      <w:bookmarkStart w:id="467" w:name="_Toc269568"/>
      <w:bookmarkStart w:id="468" w:name="_Toc269569"/>
      <w:bookmarkStart w:id="469" w:name="_Toc269571"/>
      <w:bookmarkStart w:id="470" w:name="_Toc269572"/>
      <w:bookmarkStart w:id="471" w:name="_Toc269573"/>
      <w:bookmarkStart w:id="472" w:name="_Toc269574"/>
      <w:bookmarkStart w:id="473" w:name="_Toc269576"/>
      <w:bookmarkStart w:id="474" w:name="_Toc269577"/>
      <w:bookmarkStart w:id="475" w:name="_Toc535936390"/>
      <w:bookmarkStart w:id="476" w:name="_Toc269578"/>
      <w:bookmarkStart w:id="477" w:name="_Toc269579"/>
      <w:bookmarkStart w:id="478" w:name="_Toc269580"/>
      <w:bookmarkStart w:id="479" w:name="_Toc269582"/>
      <w:bookmarkStart w:id="480" w:name="_Toc269584"/>
      <w:bookmarkStart w:id="481" w:name="_Toc269590"/>
      <w:bookmarkStart w:id="482" w:name="_Toc269591"/>
      <w:bookmarkStart w:id="483" w:name="_Toc269592"/>
      <w:bookmarkStart w:id="484" w:name="_Toc269593"/>
      <w:bookmarkStart w:id="485" w:name="_Toc269594"/>
      <w:bookmarkStart w:id="486" w:name="_Toc269595"/>
      <w:bookmarkStart w:id="487" w:name="_Toc269596"/>
      <w:bookmarkStart w:id="488" w:name="_Toc535924711"/>
      <w:bookmarkStart w:id="489" w:name="_Toc535924867"/>
      <w:bookmarkStart w:id="490" w:name="_Toc535925834"/>
      <w:bookmarkStart w:id="491" w:name="_Toc535931470"/>
      <w:bookmarkStart w:id="492" w:name="_Toc535932395"/>
      <w:bookmarkStart w:id="493" w:name="_Toc535932691"/>
      <w:bookmarkStart w:id="494" w:name="_Toc535936128"/>
      <w:bookmarkStart w:id="495" w:name="_Toc535936294"/>
      <w:bookmarkStart w:id="496" w:name="_Toc535936391"/>
      <w:bookmarkStart w:id="497" w:name="_Toc535936557"/>
      <w:bookmarkStart w:id="498" w:name="_Toc536007117"/>
      <w:bookmarkStart w:id="499" w:name="_Toc536007507"/>
      <w:bookmarkStart w:id="500" w:name="_Toc536007897"/>
      <w:bookmarkStart w:id="501" w:name="_Toc269597"/>
      <w:bookmarkStart w:id="502" w:name="_Toc269598"/>
      <w:bookmarkStart w:id="503" w:name="_Toc269599"/>
      <w:bookmarkStart w:id="504" w:name="_Toc79135982"/>
      <w:bookmarkStart w:id="505" w:name="_Toc788081"/>
      <w:bookmarkStart w:id="506" w:name="_Toc637216"/>
      <w:bookmarkStart w:id="507" w:name="_Toc637577"/>
      <w:bookmarkStart w:id="508" w:name="_Toc535931477"/>
      <w:bookmarkStart w:id="509" w:name="_Toc535932698"/>
      <w:bookmarkStart w:id="510" w:name="_Toc535936135"/>
      <w:bookmarkStart w:id="511" w:name="_Toc535936301"/>
      <w:bookmarkStart w:id="512" w:name="_Toc535936398"/>
      <w:bookmarkStart w:id="513" w:name="_Toc535936564"/>
      <w:bookmarkStart w:id="514" w:name="_Toc536007124"/>
      <w:bookmarkStart w:id="515" w:name="_Toc536007514"/>
      <w:bookmarkStart w:id="516" w:name="_Toc536007904"/>
      <w:bookmarkStart w:id="517" w:name="_Toc268327"/>
      <w:bookmarkStart w:id="518" w:name="_Toc269615"/>
      <w:bookmarkStart w:id="519" w:name="_Toc332829"/>
      <w:bookmarkStart w:id="520" w:name="_Toc333007"/>
      <w:bookmarkStart w:id="521" w:name="_Toc336159"/>
      <w:bookmarkStart w:id="522" w:name="_Toc336653"/>
      <w:bookmarkStart w:id="523" w:name="_Toc268328"/>
      <w:bookmarkStart w:id="524" w:name="_Toc269616"/>
      <w:bookmarkStart w:id="525" w:name="_Toc332830"/>
      <w:bookmarkStart w:id="526" w:name="_Toc333008"/>
      <w:bookmarkStart w:id="527" w:name="_Toc336160"/>
      <w:bookmarkStart w:id="528" w:name="_Toc336341"/>
      <w:bookmarkStart w:id="529" w:name="_Toc336654"/>
      <w:bookmarkStart w:id="530" w:name="_Toc337168"/>
      <w:bookmarkStart w:id="531" w:name="_Toc337353"/>
      <w:bookmarkStart w:id="532" w:name="_Toc268329"/>
      <w:bookmarkStart w:id="533" w:name="_Toc269617"/>
      <w:bookmarkStart w:id="534" w:name="_Toc332831"/>
      <w:bookmarkStart w:id="535" w:name="_Toc333009"/>
      <w:bookmarkStart w:id="536" w:name="_Toc336161"/>
      <w:bookmarkStart w:id="537" w:name="_Toc336655"/>
      <w:bookmarkStart w:id="538" w:name="_Toc535931479"/>
      <w:bookmarkStart w:id="539" w:name="_Toc535932700"/>
      <w:bookmarkStart w:id="540" w:name="_Toc535936137"/>
      <w:bookmarkStart w:id="541" w:name="_Toc535936303"/>
      <w:bookmarkStart w:id="542" w:name="_Toc535936400"/>
      <w:bookmarkStart w:id="543" w:name="_Toc535936566"/>
      <w:bookmarkStart w:id="544" w:name="_Toc536007126"/>
      <w:bookmarkStart w:id="545" w:name="_Toc536007516"/>
      <w:bookmarkStart w:id="546" w:name="_Toc536007906"/>
      <w:bookmarkStart w:id="547" w:name="_Toc83886144"/>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EA444B">
        <w:t>Inter-Observatory Services</w:t>
      </w:r>
      <w:bookmarkEnd w:id="547"/>
    </w:p>
    <w:p w14:paraId="29042F26" w14:textId="4CC711D9" w:rsidR="00F24C58" w:rsidRPr="00EA444B" w:rsidRDefault="00F24C58">
      <w:pPr>
        <w:pStyle w:val="PlainText"/>
      </w:pPr>
      <w:r w:rsidRPr="00EA444B">
        <w:t>In its role as manager of multiple observatories, AUI continuously evaluates individual activities to identify areas where shared services result in improved operational efficiencies while maintaining the unique attributes of each observatory. Often these services require specialized skills that are uneconomical to replicate at multiple locations</w:t>
      </w:r>
      <w:r w:rsidR="00C576B6" w:rsidRPr="00EA444B">
        <w:t>.</w:t>
      </w:r>
    </w:p>
    <w:p w14:paraId="16110054" w14:textId="13F6BB67" w:rsidR="00A27EE8" w:rsidRPr="00EA444B" w:rsidRDefault="00F24C58">
      <w:pPr>
        <w:pStyle w:val="PlainText"/>
      </w:pPr>
      <w:r w:rsidRPr="00EA444B">
        <w:t xml:space="preserve">As part of the separation of </w:t>
      </w:r>
      <w:r w:rsidR="00343867">
        <w:t>GBO</w:t>
      </w:r>
      <w:r w:rsidR="00C06BB9" w:rsidRPr="00EA444B">
        <w:t xml:space="preserve"> </w:t>
      </w:r>
      <w:r w:rsidRPr="00EA444B">
        <w:t xml:space="preserve">from NRAO </w:t>
      </w:r>
      <w:r w:rsidR="00C06BB9" w:rsidRPr="00EA444B">
        <w:t>at the start of FY201</w:t>
      </w:r>
      <w:r w:rsidR="00D85E0A" w:rsidRPr="00EA444B">
        <w:t>7</w:t>
      </w:r>
      <w:r w:rsidRPr="00EA444B">
        <w:t>, AUI</w:t>
      </w:r>
      <w:r w:rsidR="00A27EE8" w:rsidRPr="00EA444B">
        <w:t xml:space="preserve"> established a </w:t>
      </w:r>
      <w:r w:rsidRPr="00EA444B">
        <w:t xml:space="preserve">series of </w:t>
      </w:r>
      <w:r w:rsidR="00A27EE8" w:rsidRPr="00EA444B">
        <w:t>Service Level Agreement</w:t>
      </w:r>
      <w:r w:rsidR="00623A5C" w:rsidRPr="00EA444B">
        <w:t>s</w:t>
      </w:r>
      <w:r w:rsidR="00A27EE8" w:rsidRPr="00EA444B">
        <w:t xml:space="preserve"> (SLA) </w:t>
      </w:r>
      <w:r w:rsidRPr="00EA444B">
        <w:t xml:space="preserve">between the </w:t>
      </w:r>
      <w:r w:rsidR="00C06BB9" w:rsidRPr="00EA444B">
        <w:t xml:space="preserve">two organizations. The SLAs are reviewed </w:t>
      </w:r>
      <w:r w:rsidR="00623A5C" w:rsidRPr="00EA444B">
        <w:t xml:space="preserve">periodically, </w:t>
      </w:r>
      <w:r w:rsidR="00C06BB9" w:rsidRPr="00EA444B">
        <w:t>updated</w:t>
      </w:r>
      <w:r w:rsidR="00623A5C" w:rsidRPr="00EA444B">
        <w:t xml:space="preserve">, </w:t>
      </w:r>
      <w:r w:rsidR="00C06BB9" w:rsidRPr="00EA444B">
        <w:t xml:space="preserve">and </w:t>
      </w:r>
      <w:r w:rsidR="00A27EE8" w:rsidRPr="00EA444B">
        <w:t>extended by mutual agreement</w:t>
      </w:r>
      <w:r w:rsidR="00C06BB9" w:rsidRPr="00EA444B">
        <w:t>. R</w:t>
      </w:r>
      <w:r w:rsidR="00C576B6" w:rsidRPr="00EA444B">
        <w:t xml:space="preserve">enewals </w:t>
      </w:r>
      <w:r w:rsidR="00A861C6" w:rsidRPr="00EA444B">
        <w:t xml:space="preserve">are subject to funds being available in the </w:t>
      </w:r>
      <w:r w:rsidR="00343867">
        <w:t>GBO</w:t>
      </w:r>
      <w:r w:rsidR="00343867" w:rsidRPr="00EA444B">
        <w:t xml:space="preserve"> </w:t>
      </w:r>
      <w:r w:rsidR="00A861C6" w:rsidRPr="00EA444B">
        <w:t xml:space="preserve">budget, and resource </w:t>
      </w:r>
      <w:r w:rsidR="0095433C" w:rsidRPr="00EA444B">
        <w:t>availability</w:t>
      </w:r>
      <w:r w:rsidR="00A861C6" w:rsidRPr="00EA444B">
        <w:t xml:space="preserve"> through NRAO</w:t>
      </w:r>
      <w:r w:rsidR="00BC7EB8">
        <w:t xml:space="preserve"> and GBO</w:t>
      </w:r>
      <w:r w:rsidR="00971488" w:rsidRPr="00EA444B">
        <w:t>.</w:t>
      </w:r>
    </w:p>
    <w:p w14:paraId="16B94E1E" w14:textId="3CF92C1B" w:rsidR="00A27EE8" w:rsidRPr="00EA444B" w:rsidRDefault="00FF6A6A">
      <w:pPr>
        <w:pStyle w:val="PlainText"/>
      </w:pPr>
      <w:r w:rsidRPr="00EA444B">
        <w:lastRenderedPageBreak/>
        <w:t xml:space="preserve">The SLA documents areas in which shared services provide either clear advantages to both the NRAO and </w:t>
      </w:r>
      <w:r w:rsidR="00343867">
        <w:t>GBO</w:t>
      </w:r>
      <w:r w:rsidR="00E94B29" w:rsidRPr="00EA444B">
        <w:t xml:space="preserve"> </w:t>
      </w:r>
      <w:r w:rsidRPr="00EA444B">
        <w:t xml:space="preserve">or areas in which shared services have significant cost savings or other advantages for </w:t>
      </w:r>
      <w:r w:rsidR="00C06BB9" w:rsidRPr="00EA444B">
        <w:t>Green Bank</w:t>
      </w:r>
      <w:r w:rsidRPr="00EA444B">
        <w:t xml:space="preserve">. </w:t>
      </w:r>
      <w:r w:rsidR="00A27EE8" w:rsidRPr="00EA444B">
        <w:t>Several independent statements of work, each with its own point of contact, are specified within a common framework. The SLA is established with the understanding that in all cases, for identified work packages</w:t>
      </w:r>
      <w:r w:rsidR="00926EDE" w:rsidRPr="00EA444B">
        <w:t>, t</w:t>
      </w:r>
      <w:r w:rsidRPr="00EA444B">
        <w:t>he receiving observatory</w:t>
      </w:r>
      <w:r w:rsidR="00A27EE8" w:rsidRPr="00EA444B">
        <w:t xml:space="preserve"> will be provided with a level, quality, and responsiveness of service that is consistent with and undi</w:t>
      </w:r>
      <w:r w:rsidRPr="00EA444B">
        <w:t>fferentiated from those of the providing observatory</w:t>
      </w:r>
      <w:r w:rsidR="00A27EE8" w:rsidRPr="00EA444B">
        <w:t xml:space="preserve">.  </w:t>
      </w:r>
    </w:p>
    <w:p w14:paraId="131B2B31" w14:textId="15A6A0EF" w:rsidR="00A27EE8" w:rsidRPr="00EA444B" w:rsidRDefault="00A27EE8">
      <w:pPr>
        <w:pStyle w:val="PlainText"/>
      </w:pPr>
      <w:r w:rsidRPr="00EA444B">
        <w:t xml:space="preserve">It should be noted that, as sister organizations within AUI, the NRAO and </w:t>
      </w:r>
      <w:r w:rsidR="00343867">
        <w:t>GBO</w:t>
      </w:r>
      <w:r w:rsidRPr="00EA444B">
        <w:t xml:space="preserve"> will</w:t>
      </w:r>
      <w:r w:rsidR="00623A5C" w:rsidRPr="00EA444B">
        <w:t>, when feasible,</w:t>
      </w:r>
      <w:r w:rsidRPr="00EA444B">
        <w:t xml:space="preserve"> continue to share resources and services beyond what is described by the SLA through the use of direct cost reimbursement. Shared services will be handled </w:t>
      </w:r>
      <w:r w:rsidR="00E94B29" w:rsidRPr="00EA444B">
        <w:t xml:space="preserve">in accordance with </w:t>
      </w:r>
      <w:r w:rsidR="00632305" w:rsidRPr="00EA444B">
        <w:t xml:space="preserve">the </w:t>
      </w:r>
      <w:r w:rsidR="00E94B29" w:rsidRPr="00EA444B">
        <w:t>AUI Policy on Inter</w:t>
      </w:r>
      <w:r w:rsidR="00905D97" w:rsidRPr="00EA444B">
        <w:t>-</w:t>
      </w:r>
      <w:r w:rsidR="00E94B29" w:rsidRPr="00EA444B">
        <w:t>observatory Activity</w:t>
      </w:r>
      <w:r w:rsidRPr="00EA444B">
        <w:t xml:space="preserve">. </w:t>
      </w:r>
    </w:p>
    <w:p w14:paraId="46067F58" w14:textId="75C68260" w:rsidR="00A27EE8" w:rsidRPr="00EA444B" w:rsidRDefault="00A27EE8">
      <w:pPr>
        <w:pStyle w:val="PlainText"/>
        <w:rPr>
          <w:rStyle w:val="NumberingSymbols"/>
          <w:szCs w:val="22"/>
        </w:rPr>
      </w:pPr>
      <w:r w:rsidRPr="00EA444B">
        <w:t>The following NRAO divisions and programmatic activities are staffed, from a skills and force perspective, to</w:t>
      </w:r>
      <w:r w:rsidR="004D4D90" w:rsidRPr="00EA444B">
        <w:t xml:space="preserve"> share services with</w:t>
      </w:r>
      <w:r w:rsidRPr="00EA444B">
        <w:t xml:space="preserve"> </w:t>
      </w:r>
      <w:r w:rsidR="00343867">
        <w:t>GBO</w:t>
      </w:r>
      <w:r w:rsidRPr="00EA444B">
        <w:t xml:space="preserve">. Requisite incremental funding in support of the SLA effort is provided by </w:t>
      </w:r>
      <w:r w:rsidR="00343867">
        <w:t>GBO</w:t>
      </w:r>
      <w:r w:rsidR="00916FF2" w:rsidRPr="00EA444B">
        <w:t xml:space="preserve"> </w:t>
      </w:r>
      <w:r w:rsidRPr="00EA444B">
        <w:t>either directly or through the Internal Common Cost pool</w:t>
      </w:r>
      <w:r w:rsidR="004D4D90" w:rsidRPr="00EA444B">
        <w:t>, as noted.</w:t>
      </w:r>
      <w:r w:rsidR="00597166" w:rsidRPr="00EA444B">
        <w:t xml:space="preserve"> </w:t>
      </w:r>
    </w:p>
    <w:p w14:paraId="41203174" w14:textId="411A8FB8" w:rsidR="00DC712A" w:rsidRPr="000E7828" w:rsidRDefault="00DC712A">
      <w:pPr>
        <w:pStyle w:val="BulletList"/>
        <w:numPr>
          <w:ilvl w:val="0"/>
          <w:numId w:val="10"/>
        </w:numPr>
      </w:pPr>
      <w:r w:rsidRPr="000E7828">
        <w:t xml:space="preserve">Proposal Submission and Time Allocation: </w:t>
      </w:r>
      <w:r w:rsidR="00A131D6">
        <w:t>GBO</w:t>
      </w:r>
      <w:r w:rsidRPr="000E7828">
        <w:t xml:space="preserve"> and NRAO will continue to share proposal submission tools as well as the proposal review and Time Allocation Committee (TAC) process.</w:t>
      </w:r>
    </w:p>
    <w:p w14:paraId="05E37CD1" w14:textId="4F349F25" w:rsidR="00597166" w:rsidRPr="00EA444B" w:rsidRDefault="00597166">
      <w:pPr>
        <w:pStyle w:val="BulletList"/>
        <w:numPr>
          <w:ilvl w:val="0"/>
          <w:numId w:val="10"/>
        </w:numPr>
      </w:pPr>
      <w:r w:rsidRPr="00EA444B">
        <w:t xml:space="preserve">Conferences, Workshops, Colloquia, and Lectures: </w:t>
      </w:r>
      <w:r w:rsidR="00A131D6">
        <w:t>GBO</w:t>
      </w:r>
      <w:r w:rsidRPr="00EA444B">
        <w:t xml:space="preserve"> and NRAO will continue to coordinate and share workshops, colloquia, etc. as feasible.</w:t>
      </w:r>
    </w:p>
    <w:p w14:paraId="1FD8F36A" w14:textId="43FF82BE" w:rsidR="00597166" w:rsidRPr="000E7828" w:rsidRDefault="00597166">
      <w:pPr>
        <w:pStyle w:val="BulletList"/>
        <w:numPr>
          <w:ilvl w:val="0"/>
          <w:numId w:val="10"/>
        </w:numPr>
      </w:pPr>
      <w:r w:rsidRPr="000E7828">
        <w:t xml:space="preserve">Library Services: </w:t>
      </w:r>
      <w:r w:rsidR="00A131D6">
        <w:t>GBO</w:t>
      </w:r>
      <w:r w:rsidRPr="000E7828">
        <w:t xml:space="preserve"> will be given access to the NRAO library for all book and journal access</w:t>
      </w:r>
      <w:r w:rsidR="005C7C5B" w:rsidRPr="000E7828">
        <w:t>.</w:t>
      </w:r>
    </w:p>
    <w:p w14:paraId="77C45F7D" w14:textId="7B1CB5AE" w:rsidR="00597166" w:rsidRPr="00EA444B" w:rsidRDefault="00597166">
      <w:pPr>
        <w:pStyle w:val="BulletList"/>
        <w:numPr>
          <w:ilvl w:val="0"/>
          <w:numId w:val="10"/>
        </w:numPr>
      </w:pPr>
      <w:r w:rsidRPr="00EA444B">
        <w:t xml:space="preserve">Student Programs and Training: NRAO and </w:t>
      </w:r>
      <w:r w:rsidR="00A131D6">
        <w:t>GBO</w:t>
      </w:r>
      <w:r w:rsidRPr="00EA444B">
        <w:t xml:space="preserve"> will continue to share a single REU program and to collaborate on the undergraduate student training workshops.</w:t>
      </w:r>
    </w:p>
    <w:p w14:paraId="6BFA4C52" w14:textId="692A4FC6" w:rsidR="00597166" w:rsidRPr="00EA444B" w:rsidRDefault="00597166">
      <w:pPr>
        <w:pStyle w:val="BulletList"/>
        <w:numPr>
          <w:ilvl w:val="0"/>
          <w:numId w:val="10"/>
        </w:numPr>
      </w:pPr>
      <w:r w:rsidRPr="00EA444B">
        <w:t xml:space="preserve">Metrics: The NRAO metrics group will continue to provide observing and proposal metrics for </w:t>
      </w:r>
      <w:r w:rsidR="00E94B29" w:rsidRPr="00EA444B">
        <w:t xml:space="preserve">the </w:t>
      </w:r>
      <w:r w:rsidRPr="00EA444B">
        <w:t>Observatory as requested</w:t>
      </w:r>
      <w:r w:rsidR="005C7C5B" w:rsidRPr="00EA444B">
        <w:t>.</w:t>
      </w:r>
    </w:p>
    <w:p w14:paraId="65508302" w14:textId="1C97F5DF" w:rsidR="00597166" w:rsidRPr="00EA444B" w:rsidRDefault="003E2AA8">
      <w:pPr>
        <w:pStyle w:val="BulletList"/>
        <w:numPr>
          <w:ilvl w:val="0"/>
          <w:numId w:val="10"/>
        </w:numPr>
      </w:pPr>
      <w:r w:rsidRPr="00EA444B">
        <w:t xml:space="preserve">Data Archive:  NRAO will provide offsite backup and archive access to </w:t>
      </w:r>
      <w:r w:rsidR="00327F34" w:rsidRPr="00EA444B">
        <w:t>GBT</w:t>
      </w:r>
      <w:r w:rsidRPr="00EA444B">
        <w:t xml:space="preserve"> data</w:t>
      </w:r>
      <w:r w:rsidR="005C7C5B" w:rsidRPr="00EA444B">
        <w:t>.</w:t>
      </w:r>
    </w:p>
    <w:p w14:paraId="2844239C" w14:textId="0E6FC144" w:rsidR="003E2AA8" w:rsidRPr="00EA444B" w:rsidRDefault="003E2AA8">
      <w:pPr>
        <w:pStyle w:val="BulletList"/>
        <w:numPr>
          <w:ilvl w:val="0"/>
          <w:numId w:val="10"/>
        </w:numPr>
      </w:pPr>
      <w:r w:rsidRPr="00EA444B">
        <w:t xml:space="preserve">Communication Infrastructure: NRAO will ensure </w:t>
      </w:r>
      <w:r w:rsidR="00A131D6">
        <w:t>GBO</w:t>
      </w:r>
      <w:r w:rsidRPr="00EA444B">
        <w:t xml:space="preserve"> has the same level of cyber security, </w:t>
      </w:r>
      <w:r w:rsidR="00423D6A">
        <w:t xml:space="preserve">systems access protocols, </w:t>
      </w:r>
      <w:r w:rsidRPr="00EA444B">
        <w:t>telephones, network, etc. as all other AUI Observatories.</w:t>
      </w:r>
    </w:p>
    <w:p w14:paraId="663D8EF8" w14:textId="5756347A" w:rsidR="003E2AA8" w:rsidRPr="000E7828" w:rsidRDefault="003E2AA8">
      <w:pPr>
        <w:pStyle w:val="BulletList"/>
        <w:numPr>
          <w:ilvl w:val="0"/>
          <w:numId w:val="10"/>
        </w:numPr>
      </w:pPr>
      <w:r w:rsidRPr="000E7828">
        <w:t xml:space="preserve">Scientific Communications: The NRAO Communications Office will </w:t>
      </w:r>
      <w:r w:rsidR="001812E3">
        <w:t xml:space="preserve">work with the </w:t>
      </w:r>
      <w:r w:rsidR="006A35FB">
        <w:t>observatory</w:t>
      </w:r>
      <w:r w:rsidR="001812E3">
        <w:t xml:space="preserve"> Public Relations Specialist to </w:t>
      </w:r>
      <w:r w:rsidRPr="000E7828">
        <w:t xml:space="preserve">support </w:t>
      </w:r>
      <w:r w:rsidR="00A131D6">
        <w:t>GBO</w:t>
      </w:r>
      <w:r w:rsidR="00E94B29" w:rsidRPr="000E7828">
        <w:t>’s</w:t>
      </w:r>
      <w:r w:rsidRPr="000E7828">
        <w:t xml:space="preserve"> displays for scientific meetings as well as special sessions and splinter sessions at major astronomical meetings</w:t>
      </w:r>
      <w:r w:rsidR="005C7C5B" w:rsidRPr="000E7828">
        <w:t>.</w:t>
      </w:r>
    </w:p>
    <w:p w14:paraId="164A7B50" w14:textId="65342169" w:rsidR="003E2AA8" w:rsidRPr="00EA444B" w:rsidRDefault="003E2AA8">
      <w:pPr>
        <w:pStyle w:val="BulletList"/>
        <w:numPr>
          <w:ilvl w:val="0"/>
          <w:numId w:val="10"/>
        </w:numPr>
      </w:pPr>
      <w:r w:rsidRPr="00EA444B">
        <w:t xml:space="preserve">Human Resources: NRAO will provide all Human Resources functions for </w:t>
      </w:r>
      <w:r w:rsidR="00A131D6">
        <w:t>GBO</w:t>
      </w:r>
      <w:r w:rsidRPr="00EA444B">
        <w:t xml:space="preserve"> not provided through AUI’s corporate offices</w:t>
      </w:r>
      <w:r w:rsidR="005C7C5B" w:rsidRPr="00EA444B">
        <w:t>.</w:t>
      </w:r>
    </w:p>
    <w:p w14:paraId="7FA4F986" w14:textId="7C7314DD" w:rsidR="003E2AA8" w:rsidRPr="000E7828" w:rsidRDefault="003E2AA8">
      <w:pPr>
        <w:pStyle w:val="BulletList"/>
        <w:numPr>
          <w:ilvl w:val="0"/>
          <w:numId w:val="10"/>
        </w:numPr>
      </w:pPr>
      <w:r w:rsidRPr="000E7828">
        <w:t xml:space="preserve">Contracts and Procurement: The NRAO Contracts and Procurement office will provide contract management, contract tracking services, procurement, and all legal fees and insurance for </w:t>
      </w:r>
      <w:r w:rsidR="00A131D6">
        <w:t>GBO</w:t>
      </w:r>
      <w:r w:rsidR="005C7C5B" w:rsidRPr="000E7828">
        <w:t>.</w:t>
      </w:r>
    </w:p>
    <w:p w14:paraId="440B01FB" w14:textId="6CAF58EE" w:rsidR="003E2AA8" w:rsidRPr="00EA444B" w:rsidRDefault="003E2AA8">
      <w:pPr>
        <w:pStyle w:val="BulletList"/>
        <w:numPr>
          <w:ilvl w:val="0"/>
          <w:numId w:val="10"/>
        </w:numPr>
      </w:pPr>
      <w:r w:rsidRPr="00EA444B">
        <w:t xml:space="preserve">Import/Export: NRAO import/export office will remain available for </w:t>
      </w:r>
      <w:r w:rsidR="00A131D6">
        <w:t>GBO</w:t>
      </w:r>
      <w:r w:rsidRPr="00EA444B">
        <w:t>’s use.</w:t>
      </w:r>
    </w:p>
    <w:p w14:paraId="629B38C6" w14:textId="72554FD9" w:rsidR="003E2AA8" w:rsidRPr="00EA444B" w:rsidRDefault="003E2AA8">
      <w:pPr>
        <w:pStyle w:val="BulletList"/>
        <w:numPr>
          <w:ilvl w:val="0"/>
          <w:numId w:val="10"/>
        </w:numPr>
      </w:pPr>
      <w:r w:rsidRPr="00EA444B">
        <w:t xml:space="preserve">Safety:  NRAO will provide a safety officer for the </w:t>
      </w:r>
      <w:r w:rsidR="00A131D6">
        <w:t>GBO</w:t>
      </w:r>
      <w:r w:rsidR="00A131D6" w:rsidRPr="00EA444B">
        <w:t xml:space="preserve"> </w:t>
      </w:r>
      <w:r w:rsidRPr="00EA444B">
        <w:t>site and oversight for that officer.</w:t>
      </w:r>
    </w:p>
    <w:p w14:paraId="2E4DDE55" w14:textId="1237987C" w:rsidR="003F0D97" w:rsidRDefault="003E2AA8">
      <w:pPr>
        <w:pStyle w:val="BulletList"/>
        <w:numPr>
          <w:ilvl w:val="0"/>
          <w:numId w:val="10"/>
        </w:numPr>
      </w:pPr>
      <w:r w:rsidRPr="00EA444B">
        <w:t>Budget: NRAO Budget will provide budget oversight, review, and analysis for Green Bank</w:t>
      </w:r>
      <w:r w:rsidR="005C7C5B" w:rsidRPr="00EA444B">
        <w:t>.</w:t>
      </w:r>
      <w:bookmarkStart w:id="548" w:name="_Toc535925847"/>
      <w:bookmarkStart w:id="549" w:name="_Toc535931485"/>
      <w:bookmarkStart w:id="550" w:name="_Toc535932408"/>
      <w:bookmarkStart w:id="551" w:name="_Toc535932706"/>
      <w:bookmarkStart w:id="552" w:name="_Toc535936143"/>
      <w:bookmarkStart w:id="553" w:name="_Toc535936309"/>
      <w:bookmarkStart w:id="554" w:name="_Toc535936406"/>
      <w:bookmarkStart w:id="555" w:name="_Toc535936572"/>
      <w:bookmarkStart w:id="556" w:name="_Toc536007132"/>
      <w:bookmarkStart w:id="557" w:name="_Toc536007522"/>
      <w:bookmarkStart w:id="558" w:name="_Toc536007912"/>
      <w:bookmarkStart w:id="559" w:name="_Toc535925848"/>
      <w:bookmarkStart w:id="560" w:name="_Toc535931486"/>
      <w:bookmarkStart w:id="561" w:name="_Toc535932409"/>
      <w:bookmarkStart w:id="562" w:name="_Toc535932707"/>
      <w:bookmarkStart w:id="563" w:name="_Toc535936144"/>
      <w:bookmarkStart w:id="564" w:name="_Toc535936310"/>
      <w:bookmarkStart w:id="565" w:name="_Toc535936407"/>
      <w:bookmarkStart w:id="566" w:name="_Toc535936573"/>
      <w:bookmarkStart w:id="567" w:name="_Toc536007133"/>
      <w:bookmarkStart w:id="568" w:name="_Toc536007523"/>
      <w:bookmarkStart w:id="569" w:name="_Toc536007913"/>
      <w:bookmarkStart w:id="570" w:name="_Toc535924726"/>
      <w:bookmarkStart w:id="571" w:name="_Toc535924882"/>
      <w:bookmarkStart w:id="572" w:name="_Toc535925849"/>
      <w:bookmarkStart w:id="573" w:name="_Toc535931487"/>
      <w:bookmarkStart w:id="574" w:name="_Toc535932410"/>
      <w:bookmarkStart w:id="575" w:name="_Toc535932708"/>
      <w:bookmarkStart w:id="576" w:name="_Toc535936145"/>
      <w:bookmarkStart w:id="577" w:name="_Toc535936311"/>
      <w:bookmarkStart w:id="578" w:name="_Toc535936408"/>
      <w:bookmarkStart w:id="579" w:name="_Toc535936574"/>
      <w:bookmarkStart w:id="580" w:name="_Toc536007134"/>
      <w:bookmarkStart w:id="581" w:name="_Toc536007524"/>
      <w:bookmarkStart w:id="582" w:name="_Toc536007914"/>
      <w:bookmarkStart w:id="583" w:name="_Toc502314328"/>
      <w:bookmarkStart w:id="584" w:name="_Toc502314561"/>
      <w:bookmarkStart w:id="585" w:name="_Toc502314330"/>
      <w:bookmarkStart w:id="586" w:name="_Toc502314563"/>
      <w:bookmarkStart w:id="587" w:name="_Toc535936415"/>
      <w:bookmarkStart w:id="588" w:name="_Toc535420096"/>
      <w:bookmarkStart w:id="589" w:name="_Toc535648746"/>
      <w:bookmarkStart w:id="590" w:name="_Toc535649992"/>
      <w:bookmarkStart w:id="591" w:name="_Toc535924733"/>
      <w:bookmarkStart w:id="592" w:name="_Toc535924889"/>
      <w:bookmarkStart w:id="593" w:name="_Toc535925856"/>
      <w:bookmarkStart w:id="594" w:name="_Toc535931496"/>
      <w:bookmarkStart w:id="595" w:name="_Toc535932419"/>
      <w:bookmarkStart w:id="596" w:name="_Toc535932717"/>
      <w:bookmarkStart w:id="597" w:name="_Toc535936154"/>
      <w:bookmarkStart w:id="598" w:name="_Toc535936320"/>
      <w:bookmarkStart w:id="599" w:name="_Toc535936417"/>
      <w:bookmarkStart w:id="600" w:name="_Toc535936583"/>
      <w:bookmarkStart w:id="601" w:name="_Toc536007142"/>
      <w:bookmarkStart w:id="602" w:name="_Toc536007532"/>
      <w:bookmarkStart w:id="603" w:name="_Toc536007922"/>
      <w:bookmarkStart w:id="604" w:name="_Toc535931502"/>
      <w:bookmarkStart w:id="605" w:name="_Toc535932425"/>
      <w:bookmarkStart w:id="606" w:name="_Toc535932723"/>
      <w:bookmarkStart w:id="607" w:name="_Toc535936160"/>
      <w:bookmarkStart w:id="608" w:name="_Toc535936326"/>
      <w:bookmarkStart w:id="609" w:name="_Toc535936423"/>
      <w:bookmarkStart w:id="610" w:name="_Toc535936589"/>
      <w:bookmarkStart w:id="611" w:name="_Toc536007148"/>
      <w:bookmarkStart w:id="612" w:name="_Toc536007538"/>
      <w:bookmarkStart w:id="613" w:name="_Toc536007928"/>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79E1999F" w14:textId="77777777" w:rsidR="005B093F" w:rsidRPr="00DE2288" w:rsidRDefault="005B093F" w:rsidP="005B093F">
      <w:pPr>
        <w:pStyle w:val="BulletList"/>
        <w:ind w:left="0" w:firstLine="0"/>
      </w:pPr>
    </w:p>
    <w:p w14:paraId="382FADA6" w14:textId="62E5C08E" w:rsidR="005B093F" w:rsidRDefault="005B093F">
      <w:pPr>
        <w:spacing w:after="0" w:line="240" w:lineRule="auto"/>
        <w:jc w:val="left"/>
      </w:pPr>
      <w:bookmarkStart w:id="614" w:name="_Toc502314333"/>
      <w:bookmarkStart w:id="615" w:name="_Toc502314566"/>
      <w:bookmarkStart w:id="616" w:name="_Toc788083"/>
      <w:bookmarkStart w:id="617" w:name="_Toc2003328"/>
      <w:bookmarkStart w:id="618" w:name="_Toc2078322"/>
      <w:bookmarkStart w:id="619" w:name="_Toc2003329"/>
      <w:bookmarkStart w:id="620" w:name="_Toc2078323"/>
      <w:bookmarkStart w:id="621" w:name="_Toc2003330"/>
      <w:bookmarkStart w:id="622" w:name="_Toc2078324"/>
      <w:bookmarkStart w:id="623" w:name="_Toc2003331"/>
      <w:bookmarkStart w:id="624" w:name="_Toc2078325"/>
      <w:bookmarkStart w:id="625" w:name="_Toc2003332"/>
      <w:bookmarkStart w:id="626" w:name="_Toc2078326"/>
      <w:bookmarkStart w:id="627" w:name="_Toc2003333"/>
      <w:bookmarkStart w:id="628" w:name="_Toc2078327"/>
      <w:bookmarkStart w:id="629" w:name="_Toc2003334"/>
      <w:bookmarkStart w:id="630" w:name="_Toc2078328"/>
      <w:bookmarkStart w:id="631" w:name="_Toc2003335"/>
      <w:bookmarkStart w:id="632" w:name="_Toc2078329"/>
      <w:bookmarkStart w:id="633" w:name="_Toc2003336"/>
      <w:bookmarkStart w:id="634" w:name="_Toc2078330"/>
      <w:bookmarkStart w:id="635" w:name="_Toc2003337"/>
      <w:bookmarkStart w:id="636" w:name="_Toc2078331"/>
      <w:bookmarkStart w:id="637" w:name="_Toc2003338"/>
      <w:bookmarkStart w:id="638" w:name="_Toc2078332"/>
      <w:bookmarkStart w:id="639" w:name="_Toc2003339"/>
      <w:bookmarkStart w:id="640" w:name="_Toc2078333"/>
      <w:bookmarkStart w:id="641" w:name="_Toc2003340"/>
      <w:bookmarkStart w:id="642" w:name="_Toc2078334"/>
      <w:bookmarkStart w:id="643" w:name="_Toc2003341"/>
      <w:bookmarkStart w:id="644" w:name="_Toc2078335"/>
      <w:bookmarkStart w:id="645" w:name="_Toc2003342"/>
      <w:bookmarkStart w:id="646" w:name="_Toc2078336"/>
      <w:bookmarkStart w:id="647" w:name="_Toc2003343"/>
      <w:bookmarkStart w:id="648" w:name="_Toc2078337"/>
      <w:bookmarkStart w:id="649" w:name="_Toc2003344"/>
      <w:bookmarkStart w:id="650" w:name="_Toc2078338"/>
      <w:bookmarkStart w:id="651" w:name="_Toc2003345"/>
      <w:bookmarkStart w:id="652" w:name="_Toc2078339"/>
      <w:bookmarkStart w:id="653" w:name="_Toc2003346"/>
      <w:bookmarkStart w:id="654" w:name="_Toc2078340"/>
      <w:bookmarkStart w:id="655" w:name="_Toc535931506"/>
      <w:bookmarkStart w:id="656" w:name="_Toc535932727"/>
      <w:bookmarkStart w:id="657" w:name="_Toc535936164"/>
      <w:bookmarkStart w:id="658" w:name="_Toc535936330"/>
      <w:bookmarkStart w:id="659" w:name="_Toc535936427"/>
      <w:bookmarkStart w:id="660" w:name="_Toc535936593"/>
      <w:bookmarkStart w:id="661" w:name="_Toc536007152"/>
      <w:bookmarkStart w:id="662" w:name="_Toc536007542"/>
      <w:bookmarkStart w:id="663" w:name="_Toc536007932"/>
      <w:bookmarkStart w:id="664" w:name="_Toc2078341"/>
      <w:bookmarkStart w:id="665" w:name="_Toc2078342"/>
      <w:bookmarkStart w:id="666" w:name="_Toc2078343"/>
      <w:bookmarkStart w:id="667" w:name="_Toc2078344"/>
      <w:bookmarkStart w:id="668" w:name="_Toc2078345"/>
      <w:bookmarkStart w:id="669" w:name="_Toc2078346"/>
      <w:bookmarkStart w:id="670" w:name="_Toc2078347"/>
      <w:bookmarkStart w:id="671" w:name="_Toc2078348"/>
      <w:bookmarkStart w:id="672" w:name="_Toc2078408"/>
      <w:bookmarkStart w:id="673" w:name="_Toc2078409"/>
      <w:bookmarkStart w:id="674" w:name="_Toc2078410"/>
      <w:bookmarkStart w:id="675" w:name="_Toc2078411"/>
      <w:bookmarkStart w:id="676" w:name="_Toc2091438"/>
      <w:bookmarkStart w:id="677" w:name="_Toc2326166"/>
      <w:bookmarkStart w:id="678" w:name="_Toc535936429"/>
      <w:bookmarkStart w:id="679" w:name="_Toc33717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br w:type="page"/>
      </w:r>
    </w:p>
    <w:p w14:paraId="37E09848" w14:textId="77777777" w:rsidR="00C91541" w:rsidRPr="00EA444B" w:rsidRDefault="00C91541" w:rsidP="00C91541">
      <w:pPr>
        <w:pStyle w:val="Heading2"/>
      </w:pPr>
      <w:bookmarkStart w:id="680" w:name="_Toc83886119"/>
      <w:r w:rsidRPr="00EA444B">
        <w:lastRenderedPageBreak/>
        <w:t>Radio Quiet Zones</w:t>
      </w:r>
      <w:bookmarkEnd w:id="680"/>
    </w:p>
    <w:p w14:paraId="3E3ED04F" w14:textId="75FA5822" w:rsidR="00C91541" w:rsidRDefault="00C91541" w:rsidP="00C91541">
      <w:r w:rsidRPr="00EA444B">
        <w:t xml:space="preserve">The extraordinarily sensitive equipment used for radio astronomy makes our telescopes extremely susceptible to electronic interference. The Green Bank site is unique in the United States, as the only radio observatory located within two radio quiet zones, the National Radio Quiet Zone and the West Virginia Radio Astronomy Zone, providing unique protection from many forms of human-made radio frequency interference. </w:t>
      </w:r>
    </w:p>
    <w:p w14:paraId="5808A479" w14:textId="77777777" w:rsidR="00EF66A6" w:rsidRPr="00EA444B" w:rsidRDefault="00EF66A6" w:rsidP="00EF66A6">
      <w:pPr>
        <w:pStyle w:val="Heading3"/>
      </w:pPr>
      <w:bookmarkStart w:id="681" w:name="_Toc337162"/>
      <w:r w:rsidRPr="00EA444B">
        <w:t>NRQZ and WVRAZ Administration</w:t>
      </w:r>
      <w:bookmarkEnd w:id="681"/>
    </w:p>
    <w:p w14:paraId="5E9AA7D9" w14:textId="77777777" w:rsidR="00EF66A6" w:rsidRPr="00EA444B" w:rsidRDefault="00EF66A6" w:rsidP="00EF66A6">
      <w:commentRangeStart w:id="682"/>
      <w:r w:rsidRPr="00EA444B">
        <w:t xml:space="preserve">The </w:t>
      </w:r>
      <w:r>
        <w:t>Interference Protection Group (</w:t>
      </w:r>
      <w:r w:rsidRPr="00EA444B">
        <w:t>IPG</w:t>
      </w:r>
      <w:r>
        <w:t>)</w:t>
      </w:r>
      <w:r w:rsidRPr="00EA444B">
        <w:t xml:space="preserve">, comprising staff from the Electronics, Science, and Business divisions, manages the observatory interference identification and </w:t>
      </w:r>
      <w:r>
        <w:t>mitigation</w:t>
      </w:r>
      <w:r w:rsidRPr="00EA444B">
        <w:t xml:space="preserve"> efforts. </w:t>
      </w:r>
      <w:r>
        <w:t>GBO</w:t>
      </w:r>
      <w:r w:rsidRPr="00EA444B">
        <w:t xml:space="preserve"> has the most robust protection from human-generated radio frequency interference of any U.S. observatory, given its location in the NRQZ and the West Virginia Radio Astronomy Zone (WVRAZ). </w:t>
      </w:r>
    </w:p>
    <w:p w14:paraId="6E260D44" w14:textId="77777777" w:rsidR="00EF66A6" w:rsidRPr="00EA444B" w:rsidRDefault="00EF66A6" w:rsidP="00EF66A6">
      <w:r w:rsidRPr="00EA444B">
        <w:t xml:space="preserve">Working with colleagues from the NSA’s Sugar Grove Station, Green Bank continues to administer all FCC applications within the NRQZ. Such administration is done through formal agreement with NRAO, which is legally tasked to administer the NRQZ. NRQZ management and administration is carried out by the </w:t>
      </w:r>
      <w:r>
        <w:t>GBO</w:t>
      </w:r>
      <w:r w:rsidRPr="00EA444B">
        <w:t xml:space="preserve"> Director (operating as an adjunct NRAO Assistant Director solely for this purpose) and will continue to do so until such a time as the federal regulations can be changed to make </w:t>
      </w:r>
      <w:r>
        <w:t>GBO</w:t>
      </w:r>
      <w:r w:rsidRPr="00EA444B">
        <w:t xml:space="preserve"> the legal administrator of the NRQZ. In managing the WVRAZ, Green Bank continues looking for potentially harmful interference and working with the community to find solutions for their needs which do not impinge upon GBT observers.</w:t>
      </w:r>
    </w:p>
    <w:p w14:paraId="44D7D6F3" w14:textId="77777777" w:rsidR="00EF66A6" w:rsidRPr="000E7828" w:rsidRDefault="00EF66A6" w:rsidP="00EF66A6">
      <w:r w:rsidRPr="000E7828">
        <w:t xml:space="preserve">Business Services is responsible for the administration of the federally mandated NRQZ through review and comment on all FCC and NTIA application for fixed-based transmitters within the designated 13,000 square mile area surrounding </w:t>
      </w:r>
      <w:r>
        <w:t>GBO</w:t>
      </w:r>
      <w:r w:rsidRPr="000E7828">
        <w:t xml:space="preserve"> facility and the NSA Sugar Grove Research Facility while also managing the analyses required by the WVRAZ, WV Code 37A. These measures maintain a “radio quiet” protection for the </w:t>
      </w:r>
      <w:r>
        <w:t>GBO</w:t>
      </w:r>
      <w:r w:rsidRPr="000E7828">
        <w:t xml:space="preserve"> facility and the excellent noise floor for radio astronomy at the site. In a typical year, the </w:t>
      </w:r>
      <w:r>
        <w:t>GBO</w:t>
      </w:r>
      <w:r w:rsidRPr="000E7828">
        <w:t xml:space="preserve">’s NRQZ administration office will process approximately </w:t>
      </w:r>
      <w:r>
        <w:t>3,000</w:t>
      </w:r>
      <w:r w:rsidRPr="000E7828">
        <w:t xml:space="preserve"> applications and </w:t>
      </w:r>
      <w:r>
        <w:t>GBO</w:t>
      </w:r>
      <w:r w:rsidRPr="000E7828">
        <w:t xml:space="preserve"> Electronics division engineers conduct approximately 100 site compliance inspections.</w:t>
      </w:r>
    </w:p>
    <w:p w14:paraId="69BB7872" w14:textId="5B92956F" w:rsidR="00EF66A6" w:rsidRPr="00EA444B" w:rsidRDefault="00EF66A6" w:rsidP="00C91541">
      <w:r w:rsidRPr="000E7828">
        <w:t>The GBO anticipate</w:t>
      </w:r>
      <w:r>
        <w:t>s</w:t>
      </w:r>
      <w:r w:rsidRPr="000E7828">
        <w:t xml:space="preserve"> developing a software-based system for pre-application reviews so that applicants can work to design transmitter facilities prior to official submittal. The intent is to lessen the review efforts on the NRQZ administrative staff and allow a streamlining of the application process for the applicant. The initial phase of software development is complete and operational, and provides a more centralized database of applications for processing. </w:t>
      </w:r>
      <w:r>
        <w:t>Areas for i</w:t>
      </w:r>
      <w:r w:rsidRPr="000E7828">
        <w:t>mprovement</w:t>
      </w:r>
      <w:r>
        <w:t xml:space="preserve"> will be identified throughout FY2022 and plans for an updated release will take place in FY2023</w:t>
      </w:r>
      <w:r w:rsidRPr="000E7828">
        <w:t>.</w:t>
      </w:r>
      <w:commentRangeEnd w:id="682"/>
      <w:r>
        <w:rPr>
          <w:rStyle w:val="CommentReference"/>
          <w:rFonts w:ascii="Times New Roman" w:eastAsia="Times New Roman" w:hAnsi="Times New Roman" w:cs="Times New Roman"/>
        </w:rPr>
        <w:commentReference w:id="682"/>
      </w:r>
    </w:p>
    <w:p w14:paraId="0ACA2B7D" w14:textId="77777777" w:rsidR="00C91541" w:rsidRPr="00EA444B" w:rsidRDefault="00C91541" w:rsidP="00C91541">
      <w:pPr>
        <w:pStyle w:val="Heading3"/>
      </w:pPr>
      <w:r w:rsidRPr="00EA444B">
        <w:t>National Radio Quiet Zone</w:t>
      </w:r>
    </w:p>
    <w:p w14:paraId="08F30426" w14:textId="77777777" w:rsidR="00C91541" w:rsidRPr="00EA444B" w:rsidRDefault="00C91541" w:rsidP="00C91541">
      <w:pPr>
        <w:pStyle w:val="NormalWeb"/>
      </w:pPr>
      <w:r w:rsidRPr="00EA444B">
        <w:t xml:space="preserve">The National Radio Quiet Zone (NRQZ) encloses a land area of approximately 13,000 square miles near the state border between Virginia and West Virginia. Coordination is required for all new or modified, permanent, fixed, licensed transmitters inside the NRQZ to minimize possible harmful interference to </w:t>
      </w:r>
      <w:r>
        <w:t>GBO</w:t>
      </w:r>
      <w:r w:rsidRPr="00EA444B">
        <w:t xml:space="preserve"> in Green Bank</w:t>
      </w:r>
      <w:r>
        <w:t>,</w:t>
      </w:r>
      <w:r w:rsidRPr="00EA444B">
        <w:t xml:space="preserve"> and the radio receiving facilities for the United States Navy in Sugar Grove, WV.</w:t>
      </w:r>
    </w:p>
    <w:p w14:paraId="6DF2DFF2" w14:textId="77777777" w:rsidR="00C91541" w:rsidRPr="00336B71" w:rsidRDefault="00C91541" w:rsidP="00C91541">
      <w:pPr>
        <w:pStyle w:val="Heading3"/>
      </w:pPr>
      <w:r w:rsidRPr="00336B71">
        <w:t>West Virginia Radio Astronomy Zone</w:t>
      </w:r>
    </w:p>
    <w:p w14:paraId="19864552" w14:textId="77777777" w:rsidR="00C91541" w:rsidRPr="00EA444B" w:rsidRDefault="00C91541" w:rsidP="00C91541">
      <w:pPr>
        <w:rPr>
          <w:rStyle w:val="csd5d7d290"/>
          <w:rFonts w:eastAsiaTheme="majorEastAsia"/>
          <w:b/>
          <w:bCs/>
          <w:iCs/>
        </w:rPr>
      </w:pPr>
      <w:r w:rsidRPr="00EA444B">
        <w:lastRenderedPageBreak/>
        <w:t xml:space="preserve">The West Virginia Radio Astronomy Zone (WVRAZ) </w:t>
      </w:r>
      <w:r w:rsidRPr="00EA444B">
        <w:rPr>
          <w:spacing w:val="-4"/>
        </w:rPr>
        <w:t>defines a</w:t>
      </w:r>
      <w:r w:rsidRPr="00EA444B">
        <w:t xml:space="preserve"> 10-mile radius within which i</w:t>
      </w:r>
      <w:r w:rsidRPr="00EA444B">
        <w:rPr>
          <w:rStyle w:val="csd5d7d290"/>
        </w:rPr>
        <w:t>t is illegal to operate or cause to be operated any electrical equipment which interferes with radio astronomy.</w:t>
      </w:r>
    </w:p>
    <w:p w14:paraId="4F1E1EC0" w14:textId="77777777" w:rsidR="00C91541" w:rsidRPr="00336B71" w:rsidRDefault="00C91541" w:rsidP="00C91541">
      <w:pPr>
        <w:pStyle w:val="Heading3"/>
        <w:rPr>
          <w:rStyle w:val="csd5d7d290"/>
        </w:rPr>
      </w:pPr>
      <w:r w:rsidRPr="00336B71">
        <w:rPr>
          <w:rStyle w:val="csd5d7d290"/>
        </w:rPr>
        <w:t>National Radio Dynamic Zone</w:t>
      </w:r>
    </w:p>
    <w:p w14:paraId="518E7BEC" w14:textId="6B7E837B" w:rsidR="00C91541" w:rsidRDefault="00C91541" w:rsidP="00C91541">
      <w:pPr>
        <w:rPr>
          <w:rStyle w:val="csd5d7d290"/>
        </w:rPr>
      </w:pPr>
      <w:bookmarkStart w:id="683" w:name="_Hlk80017723"/>
      <w:r w:rsidRPr="008D1D7A">
        <w:rPr>
          <w:rStyle w:val="csd5d7d290"/>
        </w:rPr>
        <w:t>NRAO is leading an NRDZ project that launched in summer 2021. The NRDZ project is divided into three parts: Concept Definition, Advanced Spectrum Monitoring Hardware (ASMH) and Broader Impacts. In FY2022, NRAO will create a statement of work d</w:t>
      </w:r>
      <w:r>
        <w:rPr>
          <w:rStyle w:val="csd5d7d290"/>
        </w:rPr>
        <w:t>efining</w:t>
      </w:r>
      <w:r w:rsidRPr="008D1D7A">
        <w:rPr>
          <w:rStyle w:val="csd5d7d290"/>
        </w:rPr>
        <w:t xml:space="preserve"> GBO’s involvement in the project.</w:t>
      </w:r>
      <w:r w:rsidDel="00336B71">
        <w:rPr>
          <w:rStyle w:val="csd5d7d290"/>
        </w:rPr>
        <w:t xml:space="preserve"> </w:t>
      </w:r>
      <w:bookmarkStart w:id="684" w:name="_Toc2003291"/>
      <w:bookmarkEnd w:id="683"/>
    </w:p>
    <w:p w14:paraId="5B312439" w14:textId="77777777" w:rsidR="000F0DF2" w:rsidRDefault="000F0DF2" w:rsidP="000F0DF2">
      <w:pPr>
        <w:pStyle w:val="Heading3"/>
      </w:pPr>
      <w:r w:rsidRPr="00ED78D0">
        <w:t xml:space="preserve">RFI Monitoring Station </w:t>
      </w:r>
    </w:p>
    <w:p w14:paraId="07478058" w14:textId="77777777" w:rsidR="000F0DF2" w:rsidRPr="0054659E" w:rsidRDefault="000F0DF2" w:rsidP="000F0DF2">
      <w:r w:rsidRPr="00511338">
        <w:t xml:space="preserve">As RFI increasingly presents at higher frequencies, the IPG approach to mitigating the interference is by developing a </w:t>
      </w:r>
      <w:r>
        <w:t>system</w:t>
      </w:r>
      <w:r w:rsidRPr="00511338">
        <w:t xml:space="preserve"> to monitor, record and report RFI data to the</w:t>
      </w:r>
      <w:r>
        <w:t xml:space="preserve"> GBO staff and GBT observers.  Working with the NRDZ project (NRAO), a new system will be developed and deployed in Green Bank over the next several years. </w:t>
      </w:r>
    </w:p>
    <w:bookmarkEnd w:id="678"/>
    <w:bookmarkEnd w:id="679"/>
    <w:bookmarkEnd w:id="684"/>
    <w:p w14:paraId="72764385" w14:textId="77777777" w:rsidR="009254E0" w:rsidRDefault="009254E0">
      <w:pPr>
        <w:spacing w:after="0" w:line="240" w:lineRule="auto"/>
        <w:jc w:val="left"/>
      </w:pPr>
      <w:r>
        <w:br w:type="page"/>
      </w:r>
    </w:p>
    <w:p w14:paraId="0BAC4B44" w14:textId="77777777" w:rsidR="005037BD" w:rsidRPr="00EA444B" w:rsidRDefault="005037BD" w:rsidP="005037BD">
      <w:pPr>
        <w:pStyle w:val="Heading1"/>
      </w:pPr>
      <w:bookmarkStart w:id="685" w:name="_Toc83886145"/>
      <w:bookmarkStart w:id="686" w:name="_Toc83886121"/>
      <w:bookmarkStart w:id="687" w:name="_Toc535936189"/>
      <w:bookmarkStart w:id="688" w:name="_Toc337105"/>
      <w:bookmarkStart w:id="689" w:name="_Toc83886158"/>
      <w:r w:rsidRPr="00EA444B">
        <w:lastRenderedPageBreak/>
        <w:t>WORKFORCE MANAGEMENT</w:t>
      </w:r>
      <w:bookmarkEnd w:id="685"/>
      <w:r w:rsidRPr="00EA444B">
        <w:t xml:space="preserve"> </w:t>
      </w:r>
    </w:p>
    <w:p w14:paraId="6BD022E0" w14:textId="77777777" w:rsidR="005037BD" w:rsidRPr="00890122" w:rsidRDefault="005037BD" w:rsidP="005037BD">
      <w:r w:rsidRPr="00890122">
        <w:t xml:space="preserve">As noted below in the GBO Five Year Proposal Workforce Management Plan, during the course of the proposal, HR is predicting an overall 20% reduction in the number of staff due to retirement eligibility. After </w:t>
      </w:r>
      <w:r>
        <w:t>two</w:t>
      </w:r>
      <w:r w:rsidRPr="00890122">
        <w:t xml:space="preserve"> years into the proposal, the predicted retirements </w:t>
      </w:r>
      <w:r>
        <w:t>are</w:t>
      </w:r>
      <w:r w:rsidRPr="00890122">
        <w:t xml:space="preserve"> on pace to reach the 20% reduction. </w:t>
      </w:r>
      <w:r>
        <w:t>GBO</w:t>
      </w:r>
      <w:r w:rsidRPr="00890122">
        <w:t xml:space="preserve"> continues to focus on succession planning and staff transition opportunities to address the unique skills that are difficult to find.</w:t>
      </w:r>
    </w:p>
    <w:p w14:paraId="2AD6EDE7" w14:textId="77777777" w:rsidR="005037BD" w:rsidRPr="00890122" w:rsidRDefault="005037BD" w:rsidP="005037BD">
      <w:r w:rsidRPr="00890122">
        <w:t xml:space="preserve">GBO Five Year Proposal Workforce Management Plan FY2020–2024: NRAO will provide all HR functions for Green Bank Observatory, including an onsite full-time HR manager, and training equivalent to that given to all other AUI observatories. NRAO support will include administrative oversight of compensation, benefits, performance management, recruiting and retention, training and development, and employee relations. This administrative oversight includes access to the developed systems and yet to be developed systems that support all of the HR functions such as Saba, </w:t>
      </w:r>
      <w:proofErr w:type="spellStart"/>
      <w:r w:rsidRPr="00890122">
        <w:t>JobVite</w:t>
      </w:r>
      <w:proofErr w:type="spellEnd"/>
      <w:r w:rsidRPr="00890122">
        <w:t xml:space="preserve"> (online applicant portal), the compensation management tool, and central HR website information. </w:t>
      </w:r>
    </w:p>
    <w:p w14:paraId="12717A95" w14:textId="77777777" w:rsidR="005037BD" w:rsidRPr="00890122" w:rsidRDefault="005037BD" w:rsidP="005037BD">
      <w:r w:rsidRPr="00890122">
        <w:t>An expansion of programming through external funding or grants could grow the workforce, however the estimated upcoming retirement projections could total up to 20 staff over the next five years. Much recruiting will be focused on backfilling and training staff to maintain current programming. Unless a major funding opportunity is introduced, it is likely the staffing numbers will stay consistent.</w:t>
      </w:r>
    </w:p>
    <w:p w14:paraId="26785A6E" w14:textId="77777777" w:rsidR="005037BD" w:rsidRPr="00890122" w:rsidRDefault="005037BD" w:rsidP="005037BD">
      <w:r w:rsidRPr="00890122">
        <w:t xml:space="preserve">With the possible retirement of 20% of the workforce, knowledge transfer and recruiting efforts will be necessary for key roles particularly in the area of Electronics Engineering, Software Engineering, and Telescope Operations. </w:t>
      </w:r>
    </w:p>
    <w:p w14:paraId="7231FF8E" w14:textId="77777777" w:rsidR="005037BD" w:rsidRPr="00890122" w:rsidRDefault="005037BD" w:rsidP="005037BD">
      <w:r w:rsidRPr="00890122">
        <w:t>A continued aggressive hiring strategy to fill critical roles will involve leaning on a multitude of strategies including telecommuting agreements, remote workers, apprenticeships, short-term assignments that are assigned to project work, co-ops, and the recruitment of early career candidates with a focus on training. GBO will work with various state agencies, technical trade schools, and universities to identify candidates and strategies for these efforts.</w:t>
      </w:r>
    </w:p>
    <w:p w14:paraId="0325E360" w14:textId="77777777" w:rsidR="005037BD" w:rsidRPr="00890122" w:rsidRDefault="005037BD" w:rsidP="005037BD">
      <w:pPr>
        <w:pStyle w:val="Heading2"/>
      </w:pPr>
      <w:bookmarkStart w:id="690" w:name="_Toc83886146"/>
      <w:r w:rsidRPr="00890122">
        <w:t>Training and Development</w:t>
      </w:r>
      <w:bookmarkEnd w:id="690"/>
    </w:p>
    <w:p w14:paraId="5F9085DB" w14:textId="77777777" w:rsidR="005037BD" w:rsidRPr="00890122" w:rsidRDefault="005037BD" w:rsidP="005037BD">
      <w:r w:rsidRPr="00890122">
        <w:t xml:space="preserve">Developing the next generation of leaders within </w:t>
      </w:r>
      <w:r>
        <w:t>GBO</w:t>
      </w:r>
      <w:r w:rsidRPr="00890122">
        <w:t xml:space="preserve"> is paramount to its future success. The generational switch in the next five to ten years could leave the organization with a leadership void as today’s leaders exit the workplace, and so the next generation of leaders is needed to step into these roles.</w:t>
      </w:r>
    </w:p>
    <w:p w14:paraId="466C144D" w14:textId="77777777" w:rsidR="005037BD" w:rsidRPr="00890122" w:rsidRDefault="005037BD" w:rsidP="005037BD">
      <w:r w:rsidRPr="007833DF">
        <w:rPr>
          <w:b/>
        </w:rPr>
        <w:t>Observatory Leadership Cohort (OLC) III</w:t>
      </w:r>
      <w:r w:rsidRPr="00890122">
        <w:t xml:space="preserve">: The success of the previous two OLC programs have been amazing. The Observatories are proud of the 24 graduates who have successfully completed the year-long program. GBO has contributed with 7 of the 24 graduates. As a result of the pandemic, the FY2021 Cohort participated virtually.  In FY2022, </w:t>
      </w:r>
      <w:r>
        <w:t>HR</w:t>
      </w:r>
      <w:r w:rsidRPr="00890122">
        <w:t xml:space="preserve"> are hopeful that the Cohort will be able to visit each of the sites and meet the cohort participants face to face. The members of the Cohort receive a myriad of trainings and participate in activities to hone their leadership capabilities. At the end of the program, participants present proposals that can be implemented Observatory-wide.</w:t>
      </w:r>
    </w:p>
    <w:p w14:paraId="3B53B47A" w14:textId="77777777" w:rsidR="005037BD" w:rsidRPr="00890122" w:rsidRDefault="005037BD" w:rsidP="005037BD">
      <w:r w:rsidRPr="007833DF">
        <w:rPr>
          <w:b/>
        </w:rPr>
        <w:t>Mentoring Program</w:t>
      </w:r>
      <w:r w:rsidRPr="00890122">
        <w:t xml:space="preserve">: </w:t>
      </w:r>
      <w:r w:rsidRPr="001315CA">
        <w:rPr>
          <w:spacing w:val="-2"/>
        </w:rPr>
        <w:t xml:space="preserve">In FY2021, HR spent significant time working with the Observatory Leadership Cohort, MIT Lincoln Labs, and researched the design and development of a pilot mentoring program as a </w:t>
      </w:r>
      <w:r w:rsidRPr="001315CA">
        <w:rPr>
          <w:spacing w:val="-2"/>
        </w:rPr>
        <w:lastRenderedPageBreak/>
        <w:t>first step to evaluate the resources needed to create an Observatory-wide mentoring program in the future. In FY2022, the HR team will establish the first round of mentor and mentees across the Observatories.</w:t>
      </w:r>
    </w:p>
    <w:p w14:paraId="153F7262" w14:textId="77777777" w:rsidR="005037BD" w:rsidRPr="00890122" w:rsidRDefault="005037BD" w:rsidP="005037BD">
      <w:r w:rsidRPr="00890122">
        <w:t>The forced virtual working environment during 2020</w:t>
      </w:r>
      <w:r>
        <w:t>–</w:t>
      </w:r>
      <w:r w:rsidRPr="00890122">
        <w:t xml:space="preserve">2021 enabled the Human Resources team and Observatory Leadership Cohort to visualize how the mentorship program can be expanded across the sites. This new way of working will help to match potential mentorship partnerships with more resources. </w:t>
      </w:r>
    </w:p>
    <w:p w14:paraId="3E13C6B5" w14:textId="77777777" w:rsidR="005037BD" w:rsidRPr="00890122" w:rsidRDefault="005037BD" w:rsidP="005037BD">
      <w:r w:rsidRPr="00890122">
        <w:t xml:space="preserve">By </w:t>
      </w:r>
      <w:r>
        <w:t xml:space="preserve">Q4 </w:t>
      </w:r>
      <w:r w:rsidRPr="00890122">
        <w:t>FY2022, 10</w:t>
      </w:r>
      <w:r>
        <w:t>–</w:t>
      </w:r>
      <w:r w:rsidRPr="00890122">
        <w:t xml:space="preserve">15 partnerships will be established and a pilot training program will be implemented to help both mentors and mentees benefit from the program. </w:t>
      </w:r>
    </w:p>
    <w:p w14:paraId="17BAF4EF" w14:textId="77777777" w:rsidR="005037BD" w:rsidRPr="00890122" w:rsidRDefault="005037BD" w:rsidP="005037BD">
      <w:pPr>
        <w:pStyle w:val="Heading2"/>
      </w:pPr>
      <w:bookmarkStart w:id="691" w:name="_Toc83886147"/>
      <w:r w:rsidRPr="00890122">
        <w:t>Compensation</w:t>
      </w:r>
      <w:bookmarkEnd w:id="691"/>
      <w:r w:rsidRPr="00890122">
        <w:t xml:space="preserve"> </w:t>
      </w:r>
    </w:p>
    <w:p w14:paraId="7A532CDE" w14:textId="77777777" w:rsidR="005037BD" w:rsidRPr="00890122" w:rsidRDefault="005037BD" w:rsidP="005037BD">
      <w:r w:rsidRPr="00890122">
        <w:t>As part of the NRAO service level agreement with GBO, the NRAO Compensation Manager will work closely with the AUI Sr. Benefits Analyst to provide support and alignment of the Observatory’s Total Rewards philosophy.</w:t>
      </w:r>
    </w:p>
    <w:p w14:paraId="63ED3BC1" w14:textId="77777777" w:rsidR="005037BD" w:rsidRPr="00890122" w:rsidRDefault="005037BD" w:rsidP="005037BD">
      <w:r w:rsidRPr="007833DF">
        <w:rPr>
          <w:b/>
        </w:rPr>
        <w:t>Total Rewards Review</w:t>
      </w:r>
      <w:r w:rsidRPr="00890122">
        <w:t xml:space="preserve">: In Q2 FY2022, Benefits and Compensation will review the results of the Total Rewards Survey to identify potential areas of improvement.  The Total Rewards Survey was launched in July 2021 and included questions spanning all aspects of AUI’s current pay and benefits program. An analysis of survey results will provide an understanding of </w:t>
      </w:r>
      <w:r>
        <w:t>the</w:t>
      </w:r>
      <w:r w:rsidRPr="00890122">
        <w:t xml:space="preserve"> Total Rewards program effectiveness and a better understanding of employees’ preferences. These insights will be used to support current offerings, propose new offerings</w:t>
      </w:r>
      <w:r>
        <w:t>,</w:t>
      </w:r>
      <w:r w:rsidRPr="00890122">
        <w:t xml:space="preserve"> and make long-term total reward program design decisions to help attract and retain talent across the Observatories. </w:t>
      </w:r>
    </w:p>
    <w:p w14:paraId="1F1A45BD" w14:textId="77777777" w:rsidR="005037BD" w:rsidRPr="00890122" w:rsidRDefault="005037BD" w:rsidP="005037BD">
      <w:pPr>
        <w:pStyle w:val="Heading2"/>
      </w:pPr>
      <w:bookmarkStart w:id="692" w:name="_Toc83886148"/>
      <w:r w:rsidRPr="00890122">
        <w:t>Benefits</w:t>
      </w:r>
      <w:bookmarkEnd w:id="692"/>
    </w:p>
    <w:p w14:paraId="4DF22958" w14:textId="77777777" w:rsidR="005037BD" w:rsidRPr="00890122" w:rsidRDefault="005037BD" w:rsidP="005037BD">
      <w:r w:rsidRPr="00890122">
        <w:t xml:space="preserve">HR works closely with AUI Benefits to develop benefits programs to attract, recruit, retain, and reward employees. Benefits and HR are constantly reviewing and benchmarking available programs for competitiveness and employee engagement. Additionally, HR assists with benefits enrollment processes to ensure benefits plans are administered accurately and efficiently. </w:t>
      </w:r>
    </w:p>
    <w:p w14:paraId="5E28EBF5" w14:textId="77777777" w:rsidR="005037BD" w:rsidRPr="00890122" w:rsidRDefault="005037BD" w:rsidP="005037BD">
      <w:pPr>
        <w:pStyle w:val="Heading2"/>
      </w:pPr>
      <w:bookmarkStart w:id="693" w:name="_Toc83886149"/>
      <w:r w:rsidRPr="00890122">
        <w:t>Recruitment/Employment</w:t>
      </w:r>
      <w:bookmarkEnd w:id="693"/>
      <w:r w:rsidRPr="00890122">
        <w:t xml:space="preserve"> </w:t>
      </w:r>
    </w:p>
    <w:p w14:paraId="62F111C9" w14:textId="77777777" w:rsidR="005037BD" w:rsidRPr="00890122" w:rsidRDefault="005037BD" w:rsidP="005037BD">
      <w:r w:rsidRPr="00890122">
        <w:t xml:space="preserve">The Recruitment/Employment function of the HR department is the first point of contact prospective employees experience with the </w:t>
      </w:r>
      <w:r>
        <w:t>Observatory</w:t>
      </w:r>
      <w:r w:rsidRPr="00890122">
        <w:t xml:space="preserve">. The strategies and tactics deployed in the recruitment and hiring of qualified candidates are key in contributing not only the </w:t>
      </w:r>
      <w:r>
        <w:t>GBO</w:t>
      </w:r>
      <w:r w:rsidRPr="00890122">
        <w:t xml:space="preserve"> commitment to diversity and inclusion but to achieving the overall mission of </w:t>
      </w:r>
      <w:r>
        <w:t>GBO</w:t>
      </w:r>
      <w:r w:rsidRPr="00890122">
        <w:t>.</w:t>
      </w:r>
    </w:p>
    <w:p w14:paraId="5544288E" w14:textId="77777777" w:rsidR="005037BD" w:rsidRDefault="005037BD" w:rsidP="005037BD">
      <w:pPr>
        <w:rPr>
          <w:rStyle w:val="eop"/>
        </w:rPr>
      </w:pPr>
      <w:r w:rsidRPr="007833DF">
        <w:rPr>
          <w:b/>
        </w:rPr>
        <w:t>Implement Client Relationship Management (CRM) Platforms</w:t>
      </w:r>
      <w:r w:rsidRPr="00890122">
        <w:t>: The development of a candidate pipeline has been established as a priority for the recruitment team. Using software options such as a Client Relationship Management (CRM) platform will allow the recruitment team to organize candidate information, build candidate pipelines, and communicate effectively to prospective applicants. By improving the branding and communication to prospective candidates, the recruitment team can increase the number of qualified candidates and improve the time it takes to fill open positions. A CRM allows more targeted recruitment of specific skill sets and increases the diversity of candidate pools. The recruitment team researched and evaluated CRM options and selected Jobvite CRM and Onboarding modules that will be implemented in Q2, FY2022. This platform will dramatically help GBO to identify possible candidates for the current recruitment challenge.</w:t>
      </w:r>
      <w:bookmarkStart w:id="694" w:name="_Toc78184091"/>
      <w:bookmarkStart w:id="695" w:name="_Toc78184092"/>
      <w:bookmarkStart w:id="696" w:name="_Toc78184093"/>
      <w:bookmarkStart w:id="697" w:name="_Toc78184094"/>
      <w:bookmarkEnd w:id="694"/>
      <w:bookmarkEnd w:id="695"/>
      <w:bookmarkEnd w:id="696"/>
      <w:bookmarkEnd w:id="697"/>
      <w:r>
        <w:rPr>
          <w:rStyle w:val="eop"/>
        </w:rPr>
        <w:br w:type="page"/>
      </w:r>
    </w:p>
    <w:p w14:paraId="16A36BC8" w14:textId="77777777" w:rsidR="009814F2" w:rsidRPr="00EA444B" w:rsidRDefault="009814F2" w:rsidP="009814F2">
      <w:pPr>
        <w:pStyle w:val="Heading1"/>
      </w:pPr>
      <w:r w:rsidRPr="00EA444B">
        <w:lastRenderedPageBreak/>
        <w:t>BROADER IMPACT</w:t>
      </w:r>
      <w:r>
        <w:rPr>
          <w:caps w:val="0"/>
        </w:rPr>
        <w:t>S</w:t>
      </w:r>
      <w:bookmarkEnd w:id="686"/>
    </w:p>
    <w:bookmarkEnd w:id="687"/>
    <w:bookmarkEnd w:id="688"/>
    <w:p w14:paraId="166A8511" w14:textId="77777777" w:rsidR="009814F2" w:rsidRPr="00792251" w:rsidRDefault="009814F2" w:rsidP="009814F2">
      <w:r w:rsidRPr="00792251">
        <w:t xml:space="preserve">Beyond its impact to the astronomical sciences, </w:t>
      </w:r>
      <w:r>
        <w:t>GBO</w:t>
      </w:r>
      <w:r w:rsidRPr="00792251">
        <w:t xml:space="preserve"> contributes in a unique and expansive manner to society. Education and Public Outreach (EPO) programs leverage the technical village that is Green Bank Observatory (staff and facilities) to create unique STEM learning experiences that combine the science, engineering, and coding work that is done here with real-world educational experiences for K-16 students and educators and professional scientists. Learning by doing is the philosophy behind all </w:t>
      </w:r>
      <w:r>
        <w:t>GBO</w:t>
      </w:r>
      <w:r w:rsidRPr="00792251">
        <w:t xml:space="preserve"> STEM programs. Additionally, </w:t>
      </w:r>
      <w:r>
        <w:t>GBO</w:t>
      </w:r>
      <w:r w:rsidRPr="00792251">
        <w:t xml:space="preserve"> will continue to use internships, co-ops, and a fair and balanced approach for all staffing decisions to maximize the opportunities for diversity within the staff.</w:t>
      </w:r>
    </w:p>
    <w:p w14:paraId="0F7F9381" w14:textId="77777777" w:rsidR="009814F2" w:rsidRPr="00FF410A" w:rsidRDefault="009814F2" w:rsidP="009814F2">
      <w:r w:rsidRPr="00FF410A">
        <w:t xml:space="preserve">AUI and </w:t>
      </w:r>
      <w:r>
        <w:t>GBO’s</w:t>
      </w:r>
      <w:r w:rsidRPr="00FF410A">
        <w:t xml:space="preserve"> strategic goals emphasize broadening participation in STEM by cultivating future generations of scientists and engineers, to maximize the scientific knowledge of current scientists and engineers, and to engage the public in dynamic programming that will instill a greater appreciation for the value of radio astronomy, scientific discovery, and STEM in general.  </w:t>
      </w:r>
    </w:p>
    <w:p w14:paraId="2C4A636D" w14:textId="77777777" w:rsidR="009814F2" w:rsidRPr="00EA444B" w:rsidRDefault="009814F2" w:rsidP="009814F2">
      <w:r w:rsidRPr="00FF410A">
        <w:t>AUI is committed to a strong EPO effort that aligns with NSF’s interests in promoting STEM literacy and education at its research facilities.</w:t>
      </w:r>
      <w:r w:rsidRPr="00EA444B">
        <w:t xml:space="preserve"> </w:t>
      </w:r>
    </w:p>
    <w:p w14:paraId="3CD522D7" w14:textId="77777777" w:rsidR="009814F2" w:rsidRPr="00EA444B" w:rsidRDefault="009814F2" w:rsidP="009814F2">
      <w:pPr>
        <w:pStyle w:val="Heading2"/>
      </w:pPr>
      <w:bookmarkStart w:id="698" w:name="_Toc535936174"/>
      <w:bookmarkStart w:id="699" w:name="_Toc337098"/>
      <w:bookmarkStart w:id="700" w:name="_Toc83886122"/>
      <w:r w:rsidRPr="00EA444B">
        <w:t>Observer Training</w:t>
      </w:r>
      <w:bookmarkEnd w:id="698"/>
      <w:bookmarkEnd w:id="699"/>
      <w:bookmarkEnd w:id="700"/>
    </w:p>
    <w:p w14:paraId="57A66E91" w14:textId="77777777" w:rsidR="009814F2" w:rsidRPr="00EA444B" w:rsidRDefault="009814F2" w:rsidP="009814F2">
      <w:r w:rsidRPr="00EA444B">
        <w:rPr>
          <w:spacing w:val="1"/>
          <w:kern w:val="2"/>
        </w:rPr>
        <w:t xml:space="preserve">The </w:t>
      </w:r>
      <w:r>
        <w:rPr>
          <w:spacing w:val="1"/>
          <w:kern w:val="2"/>
        </w:rPr>
        <w:t xml:space="preserve">GBO </w:t>
      </w:r>
      <w:r w:rsidRPr="00EA444B">
        <w:rPr>
          <w:spacing w:val="1"/>
          <w:kern w:val="2"/>
        </w:rPr>
        <w:t xml:space="preserve">scientific staff </w:t>
      </w:r>
      <w:r w:rsidRPr="00EA444B">
        <w:t xml:space="preserve">provides the scientific community with the support necessary to execute successful scientific programs, providing education and outreach services to astronomers who use the GBT, including face-to-face visitor support/data reduction visits, helpdesk support, knowledge base articles, science forums, online documentation, as well as training workshops and events, including biannual Observer Training Workshops and an annual Single Dish School. The scientific staff will maintain online training and educational material, including data reduction tutorials for the </w:t>
      </w:r>
      <w:r>
        <w:t>GBO</w:t>
      </w:r>
      <w:r w:rsidRPr="00EA444B">
        <w:t>.</w:t>
      </w:r>
    </w:p>
    <w:p w14:paraId="26EC9010" w14:textId="77777777" w:rsidR="009814F2" w:rsidRPr="00EA444B" w:rsidRDefault="009814F2" w:rsidP="009814F2">
      <w:pPr>
        <w:rPr>
          <w:spacing w:val="-4"/>
        </w:rPr>
      </w:pPr>
      <w:r w:rsidRPr="00EA444B">
        <w:t xml:space="preserve">The Single Dish School (SDS) is organized annually by </w:t>
      </w:r>
      <w:r>
        <w:t>GBO</w:t>
      </w:r>
      <w:r w:rsidRPr="00EA444B">
        <w:t xml:space="preserve">. These workshops are primarily comprised of lectures on single dish observing theory and techniques at a level appropriate for graduate students in astrophysics. They are designed for those who do not have any prior experience in radio </w:t>
      </w:r>
      <w:r>
        <w:t>astronomy</w:t>
      </w:r>
      <w:r w:rsidRPr="00EA444B">
        <w:t xml:space="preserve">. The SDSs also include </w:t>
      </w:r>
      <w:r w:rsidRPr="00EA444B">
        <w:rPr>
          <w:spacing w:val="-4"/>
        </w:rPr>
        <w:t>hands-on tutorials demonstrating observation preparation and/or data reduction for the GBT. The SDS is held annually, alternating between a late spring and early fall date, to accommodate varied college schedules.</w:t>
      </w:r>
      <w:r>
        <w:rPr>
          <w:spacing w:val="-4"/>
        </w:rPr>
        <w:t xml:space="preserve"> </w:t>
      </w:r>
      <w:r w:rsidRPr="00415847">
        <w:rPr>
          <w:spacing w:val="-4"/>
        </w:rPr>
        <w:t>In FY202</w:t>
      </w:r>
      <w:r>
        <w:rPr>
          <w:spacing w:val="-4"/>
        </w:rPr>
        <w:t xml:space="preserve">2, </w:t>
      </w:r>
      <w:r w:rsidRPr="00415847">
        <w:rPr>
          <w:spacing w:val="-4"/>
        </w:rPr>
        <w:t xml:space="preserve">the school will be held in the </w:t>
      </w:r>
      <w:r>
        <w:rPr>
          <w:spacing w:val="-4"/>
        </w:rPr>
        <w:t>s</w:t>
      </w:r>
      <w:r w:rsidRPr="00415847">
        <w:rPr>
          <w:spacing w:val="-4"/>
        </w:rPr>
        <w:t>pring.</w:t>
      </w:r>
    </w:p>
    <w:p w14:paraId="5C5F720E" w14:textId="77777777" w:rsidR="009814F2" w:rsidRDefault="009814F2" w:rsidP="009814F2">
      <w:r w:rsidRPr="00EA444B">
        <w:t xml:space="preserve">New Observer Workshops are conducted three times a year and offer an opportunity for new and prospective users of the GBT to travel to </w:t>
      </w:r>
      <w:r>
        <w:t>GBO</w:t>
      </w:r>
      <w:r w:rsidRPr="00EA444B">
        <w:t xml:space="preserve"> for a series of hands-on training in the GBT systems, how to observe with the GBT, data reduction tools and techniques, and how to create proposals to submit to the GBT call for proposals. </w:t>
      </w:r>
    </w:p>
    <w:p w14:paraId="54A75E6C" w14:textId="77777777" w:rsidR="009814F2" w:rsidRDefault="009814F2" w:rsidP="009814F2">
      <w:pPr>
        <w:rPr>
          <w:highlight w:val="yellow"/>
        </w:rPr>
      </w:pPr>
      <w:r w:rsidRPr="008F7AB6">
        <w:t>In FY2021</w:t>
      </w:r>
      <w:r>
        <w:t>,</w:t>
      </w:r>
      <w:r w:rsidRPr="008F7AB6">
        <w:t xml:space="preserve"> a new series of Proposer’s Workshops were run through a virtual platform, to provide the community with the opportunity to learn about </w:t>
      </w:r>
      <w:r>
        <w:t>GBO’s</w:t>
      </w:r>
      <w:r w:rsidRPr="008F7AB6">
        <w:t xml:space="preserve"> proposal submission tools, processes, and to aid in the accurate planning of proposals. The Workshops were well attended, with approximately 35 attendees at each of the two workshops. In FY2022</w:t>
      </w:r>
      <w:r>
        <w:t>,</w:t>
      </w:r>
      <w:r w:rsidRPr="008F7AB6">
        <w:t xml:space="preserve"> </w:t>
      </w:r>
      <w:r>
        <w:t>GBO</w:t>
      </w:r>
      <w:r w:rsidRPr="008F7AB6">
        <w:t xml:space="preserve"> will continue these workshops, offering one workshop in advance of each proposal deadline. </w:t>
      </w:r>
      <w:r w:rsidRPr="001D7DC3">
        <w:t xml:space="preserve"> Each workshop will be recorded and the recordings offered for community viewing.</w:t>
      </w:r>
    </w:p>
    <w:p w14:paraId="33DE3F2F" w14:textId="77777777" w:rsidR="009814F2" w:rsidRDefault="009814F2" w:rsidP="009814F2">
      <w:pPr>
        <w:rPr>
          <w:highlight w:val="yellow"/>
        </w:rPr>
      </w:pPr>
    </w:p>
    <w:p w14:paraId="702AC1C4" w14:textId="77777777" w:rsidR="009814F2" w:rsidRPr="00EA444B" w:rsidRDefault="009814F2" w:rsidP="009814F2">
      <w:pPr>
        <w:pStyle w:val="Heading2"/>
      </w:pPr>
      <w:bookmarkStart w:id="701" w:name="_Toc79135956"/>
      <w:bookmarkEnd w:id="701"/>
      <w:r w:rsidDel="00886E09">
        <w:lastRenderedPageBreak/>
        <w:t xml:space="preserve"> </w:t>
      </w:r>
      <w:bookmarkStart w:id="702" w:name="_Toc79135957"/>
      <w:bookmarkStart w:id="703" w:name="_Toc83886123"/>
      <w:bookmarkEnd w:id="702"/>
      <w:r>
        <w:t xml:space="preserve">Astronomy </w:t>
      </w:r>
      <w:r w:rsidRPr="00EA444B">
        <w:t>Community Outreach</w:t>
      </w:r>
      <w:bookmarkEnd w:id="703"/>
    </w:p>
    <w:p w14:paraId="33587849" w14:textId="77777777" w:rsidR="009814F2" w:rsidRPr="002240BA" w:rsidRDefault="009814F2" w:rsidP="009814F2">
      <w:pPr>
        <w:rPr>
          <w:spacing w:val="-2"/>
        </w:rPr>
      </w:pPr>
      <w:r w:rsidRPr="002240BA">
        <w:rPr>
          <w:spacing w:val="-2"/>
        </w:rPr>
        <w:t>Each year, GBO hosts workshops that bring members of the astronomical community together to share ideas and plot future directions for the field. The EPO division works closely with the Science division and the local organizing committees to plan, execute, and report on the workshops. Resources from these activities are live streamed, recorded, archived, and shared to increase capacity, participation, and outreach.</w:t>
      </w:r>
    </w:p>
    <w:p w14:paraId="640B5A90" w14:textId="77777777" w:rsidR="009814F2" w:rsidRDefault="009814F2" w:rsidP="009814F2">
      <w:r>
        <w:t>In FY2022, a series of workshops will be held, both face-to-face and virtually, to plan the instrumentation needs of the community in the upcoming decade. These workshops will be planned around the science themes of the 2020 Decadal Survey, with the first workshop to be held in early 2022.</w:t>
      </w:r>
    </w:p>
    <w:p w14:paraId="229E428C" w14:textId="77777777" w:rsidR="009814F2" w:rsidRDefault="009814F2" w:rsidP="009814F2">
      <w:pPr>
        <w:pStyle w:val="PlainText"/>
      </w:pPr>
      <w:r w:rsidRPr="00EA444B">
        <w:t xml:space="preserve">In addition to the workshops, schools, and other educational activities held at or sponsored by </w:t>
      </w:r>
      <w:r>
        <w:t>GBO and described below</w:t>
      </w:r>
      <w:r w:rsidRPr="00EA444B">
        <w:t xml:space="preserve">, </w:t>
      </w:r>
      <w:r>
        <w:t>GBO</w:t>
      </w:r>
      <w:r w:rsidRPr="00EA444B">
        <w:t xml:space="preserve"> is also an active participant at most major astronomical meetings.</w:t>
      </w:r>
      <w:r>
        <w:t xml:space="preserve"> GBO</w:t>
      </w:r>
      <w:r w:rsidRPr="00EA444B">
        <w:t xml:space="preserve"> is an exhibitor and has regular press conferences and sessions at the semi-annual AAS meetings.</w:t>
      </w:r>
      <w:r>
        <w:t xml:space="preserve"> GBO</w:t>
      </w:r>
      <w:r w:rsidRPr="00EA444B">
        <w:t xml:space="preserve"> is also an exhibitor at the </w:t>
      </w:r>
      <w:r>
        <w:t>b</w:t>
      </w:r>
      <w:r w:rsidRPr="00EA444B">
        <w:t xml:space="preserve">iannual URSI General Assembly and the triannual IAU General Assembly.  </w:t>
      </w:r>
    </w:p>
    <w:p w14:paraId="2C6BAE7B" w14:textId="77777777" w:rsidR="009814F2" w:rsidRDefault="009814F2" w:rsidP="009814F2">
      <w:pPr>
        <w:pStyle w:val="Heading2"/>
      </w:pPr>
      <w:bookmarkStart w:id="704" w:name="_Toc83886124"/>
      <w:r>
        <w:t>Formal Educational Programs</w:t>
      </w:r>
      <w:bookmarkEnd w:id="704"/>
    </w:p>
    <w:p w14:paraId="3A11724F" w14:textId="77777777" w:rsidR="009814F2" w:rsidRDefault="009814F2" w:rsidP="009814F2">
      <w:r w:rsidRPr="00FF410A">
        <w:t xml:space="preserve">All </w:t>
      </w:r>
      <w:r>
        <w:t>GBO</w:t>
      </w:r>
      <w:r w:rsidRPr="00FF410A">
        <w:t xml:space="preserve"> education programs are strongly integrated with the science and engineering mission of the </w:t>
      </w:r>
      <w:r>
        <w:t>GBO</w:t>
      </w:r>
      <w:r w:rsidRPr="00FF410A">
        <w:t xml:space="preserve">. That students and teachers can interact with STEM professionals within the environment of a federally funded research and development center amplifies the impact of all of the </w:t>
      </w:r>
      <w:r>
        <w:t>GBO</w:t>
      </w:r>
      <w:r w:rsidRPr="00FF410A">
        <w:t xml:space="preserve">’s programming. Residential programs are important in the educational portfolio. </w:t>
      </w:r>
      <w:r>
        <w:t>R</w:t>
      </w:r>
      <w:r w:rsidRPr="00FF410A">
        <w:t xml:space="preserve">ecognizing that not all interested students and teachers will be able to visit the </w:t>
      </w:r>
      <w:r>
        <w:t>GBO</w:t>
      </w:r>
      <w:r w:rsidRPr="00FF410A">
        <w:t xml:space="preserve"> site, </w:t>
      </w:r>
      <w:r>
        <w:t xml:space="preserve">virtual and </w:t>
      </w:r>
      <w:r w:rsidRPr="00FF410A">
        <w:t>outreach activities are conducted as well</w:t>
      </w:r>
      <w:r w:rsidRPr="00EA444B">
        <w:t>.</w:t>
      </w:r>
      <w:bookmarkStart w:id="705" w:name="_Toc337108"/>
      <w:r>
        <w:t xml:space="preserve"> </w:t>
      </w:r>
    </w:p>
    <w:p w14:paraId="4A5B216E" w14:textId="77777777" w:rsidR="009814F2" w:rsidRPr="00EA444B" w:rsidRDefault="009814F2" w:rsidP="009814F2">
      <w:pPr>
        <w:pStyle w:val="Heading3"/>
      </w:pPr>
      <w:r w:rsidRPr="00EA444B">
        <w:t>WVSPOT</w:t>
      </w:r>
      <w:bookmarkEnd w:id="705"/>
    </w:p>
    <w:p w14:paraId="251E65E9" w14:textId="77777777" w:rsidR="009814F2" w:rsidRPr="00074C80" w:rsidRDefault="009814F2" w:rsidP="009814F2">
      <w:r>
        <w:t xml:space="preserve">GBO operates the West Virginia Science Public Outreach Team (WVSPOT) program which is supported </w:t>
      </w:r>
      <w:r w:rsidRPr="00074C80">
        <w:t xml:space="preserve">through a partnership between </w:t>
      </w:r>
      <w:r>
        <w:t xml:space="preserve">GBO, </w:t>
      </w:r>
      <w:r w:rsidRPr="00074C80">
        <w:t>West Virginia Space Grant Consortium,</w:t>
      </w:r>
      <w:r>
        <w:t xml:space="preserve"> and several sponsors, and in-kind contributions from universities and colleges in the state. </w:t>
      </w:r>
      <w:r w:rsidRPr="00074C80">
        <w:t>WVSPOT recruits and trains undergraduate college ambassadors to bring interactive presentations and hands-on activities about current West Virginia science, technology, and engineering research to West Virginia K-12 classrooms, museums, and youth programs. The program</w:t>
      </w:r>
      <w:r>
        <w:t>, which</w:t>
      </w:r>
      <w:r w:rsidRPr="00074C80">
        <w:t xml:space="preserve"> has seen steady growth since its inception</w:t>
      </w:r>
      <w:r>
        <w:t xml:space="preserve">, was limited to virtual visits in FY2021. Nonetheless, the SPOT program expanded to include Ambassadors from several new colleges in the state. </w:t>
      </w:r>
      <w:bookmarkStart w:id="706" w:name="_Hlk79323436"/>
      <w:r>
        <w:t>GBO</w:t>
      </w:r>
      <w:r w:rsidRPr="00074C80">
        <w:t xml:space="preserve"> will continue to manage the WVSPOT program in FY202</w:t>
      </w:r>
      <w:r>
        <w:t>2</w:t>
      </w:r>
      <w:r w:rsidRPr="00074C80">
        <w:t xml:space="preserve"> with a goal of expanding the program to include ambassadors from three new colleges. </w:t>
      </w:r>
      <w:r>
        <w:t>It is GBO’s plan to operate a hybrid program in FY2022, offering both in-person visits to schools and virtual visits. In FY2022, GBO also plans to seek funding from the NSF AISL program’s January 2022 proposal call to scale SPOT, expanding to other (nearby) states.</w:t>
      </w:r>
      <w:bookmarkEnd w:id="706"/>
    </w:p>
    <w:p w14:paraId="1A38532B" w14:textId="77777777" w:rsidR="009814F2" w:rsidRPr="00EA444B" w:rsidRDefault="009814F2" w:rsidP="009814F2">
      <w:pPr>
        <w:pStyle w:val="Heading3"/>
      </w:pPr>
      <w:bookmarkStart w:id="707" w:name="_Toc337109"/>
      <w:r w:rsidRPr="00EA444B">
        <w:t>WV GSI</w:t>
      </w:r>
      <w:bookmarkEnd w:id="707"/>
      <w:r w:rsidRPr="00EA444B">
        <w:t xml:space="preserve"> </w:t>
      </w:r>
    </w:p>
    <w:p w14:paraId="7DDB62F2" w14:textId="77777777" w:rsidR="009814F2" w:rsidRPr="00FF410A" w:rsidRDefault="009814F2" w:rsidP="009814F2">
      <w:pPr>
        <w:pStyle w:val="NormalWeb"/>
      </w:pPr>
      <w:r w:rsidRPr="00FF410A">
        <w:t xml:space="preserve">West Virginia’s Governor’s Stem Institute (GSI) is a two-week residential program funded by the state of West Virginia for 60 STEM interested students preparing to enter the ninth grade. GSI builds academic research skills and cultivates interest in STEM careers among young students. Assessment is a strong and integral component of this program in which the immediate impacts are measured of the experience on students’ research skills, their attitudes toward inquiry, and their confidence in their abilities to conduct research in STEM. </w:t>
      </w:r>
    </w:p>
    <w:p w14:paraId="646FE54F" w14:textId="77777777" w:rsidR="009814F2" w:rsidRPr="00FF410A" w:rsidRDefault="009814F2" w:rsidP="009814F2">
      <w:pPr>
        <w:pStyle w:val="NormalWeb"/>
      </w:pPr>
    </w:p>
    <w:p w14:paraId="33BCEA3B" w14:textId="77777777" w:rsidR="009814F2" w:rsidRPr="00EA444B" w:rsidRDefault="009814F2" w:rsidP="009814F2">
      <w:pPr>
        <w:pStyle w:val="NormalWeb"/>
      </w:pPr>
      <w:r w:rsidRPr="00FF410A">
        <w:lastRenderedPageBreak/>
        <w:t xml:space="preserve">In addition to improving STEM self-efficacy and identity in West Virginia youth, and cultivating interest in STEM careers among young students, WV GSI builds leadership skills in WV undergraduate STEM students. Between 10 and 12 undergraduate students who attend state colleges and universities are employed to mentor GSI participants, and provide enrichment programming related to their own studies. WV GSI operates on a three-year application/funding cycle. </w:t>
      </w:r>
      <w:r>
        <w:t>In FY2020, the program was suspended due to COVID-19, and in FY2021, GBO held WVGSI virtually. The state is expected to issue a request for proposals in FY2022, and GBO</w:t>
      </w:r>
      <w:r w:rsidRPr="00FF410A">
        <w:t xml:space="preserve"> </w:t>
      </w:r>
      <w:r>
        <w:t>will pursue funding to continue this program.</w:t>
      </w:r>
    </w:p>
    <w:p w14:paraId="7172ADCD" w14:textId="77777777" w:rsidR="009814F2" w:rsidRPr="00EA444B" w:rsidRDefault="009814F2" w:rsidP="009814F2">
      <w:pPr>
        <w:pStyle w:val="Heading3"/>
      </w:pPr>
      <w:bookmarkStart w:id="708" w:name="_Toc337110"/>
      <w:r w:rsidRPr="00EA444B">
        <w:t>PING</w:t>
      </w:r>
      <w:bookmarkEnd w:id="708"/>
    </w:p>
    <w:p w14:paraId="57827F8B" w14:textId="77777777" w:rsidR="009814F2" w:rsidRPr="00FF410A" w:rsidRDefault="009814F2" w:rsidP="009814F2">
      <w:pPr>
        <w:pStyle w:val="NormalWeb"/>
      </w:pPr>
      <w:r w:rsidRPr="00FF410A">
        <w:t xml:space="preserve">EPO’s success with the GSI program led it to develop Physics Inspiring the Next Generation (PING), a national program for underrepresented youth. A central component of PING is a two-week summer camp. Like GSI, in PING Camp the central theme is radio astronomy research with exposure to topics in science, technology, engineering, and mathematics. Students are on location at </w:t>
      </w:r>
      <w:r>
        <w:t>GBO</w:t>
      </w:r>
      <w:r w:rsidRPr="00FF410A">
        <w:t xml:space="preserve"> and immersed in the research activities of this national research center. While in residence, students work in small teams led by a teacher and supported by a student mentor and a Green Bank staff scientist (astronomer, physicist, engineer, etc.) to conduct research by observing the universe with the 40-Foot diameter radio telescope and the 20-Meter telescope. Supporting material in chemistry, physics, mathematics, and engineering are provided. At the conclusion of PING Camp, the student groups present their findings to each other, </w:t>
      </w:r>
      <w:r>
        <w:t>GBO</w:t>
      </w:r>
      <w:r w:rsidRPr="00FF410A">
        <w:t xml:space="preserve"> scientists, and guests in an academic colloquium that reinforces the need for ongoing research and exploration. Supplemental educational activities, including field research in ecology, bench experiences building electronic circuits, and data analysis using computer-based image processing software, complement the primary research theme. Outdoor activities and fun hands-on seminars round out the experience. PING undergraduate mentors are chosen from among the applicants for the general Research Experience for Undergraduates (REU) program. Role models are sought for the students</w:t>
      </w:r>
      <w:r>
        <w:t xml:space="preserve"> while </w:t>
      </w:r>
      <w:r w:rsidRPr="00FF410A">
        <w:t>making a conscious effort to increase the diversity of the Green Bank REU student cadre in the process.</w:t>
      </w:r>
    </w:p>
    <w:p w14:paraId="4463CAE4" w14:textId="77777777" w:rsidR="009814F2" w:rsidRPr="00FF410A" w:rsidRDefault="009814F2" w:rsidP="009814F2">
      <w:pPr>
        <w:pStyle w:val="NormalWeb"/>
      </w:pPr>
    </w:p>
    <w:p w14:paraId="436B6D09" w14:textId="77777777" w:rsidR="009814F2" w:rsidRDefault="009814F2" w:rsidP="009814F2">
      <w:pPr>
        <w:pStyle w:val="NormalWeb"/>
      </w:pPr>
      <w:r w:rsidRPr="00FF410A">
        <w:t xml:space="preserve">The goals of the PING program are to build STEM identity and self-efficacy in under-served youth and undergraduates through authentic astronomy research, to create a pathway to further STEM opportunities, and to support undergraduates in research and mentoring to younger students. </w:t>
      </w:r>
      <w:r>
        <w:t>GBO</w:t>
      </w:r>
      <w:r w:rsidRPr="00FF410A">
        <w:t xml:space="preserve"> selects up to 20 rising ninth graders for the program. GBO also supports two to four undergraduate mentors, who participate in </w:t>
      </w:r>
      <w:r>
        <w:t>eight to ten</w:t>
      </w:r>
      <w:r w:rsidRPr="00FF410A">
        <w:t xml:space="preserve"> weeks of research and two weeks as mentors to PING high school students.</w:t>
      </w:r>
    </w:p>
    <w:p w14:paraId="0B42D4CE" w14:textId="77777777" w:rsidR="009814F2" w:rsidRDefault="009814F2" w:rsidP="009814F2">
      <w:pPr>
        <w:pStyle w:val="NormalWeb"/>
      </w:pPr>
    </w:p>
    <w:p w14:paraId="1DEA90D8" w14:textId="77777777" w:rsidR="009814F2" w:rsidRPr="00FF410A" w:rsidRDefault="009814F2" w:rsidP="009814F2">
      <w:pPr>
        <w:pStyle w:val="NormalWeb"/>
      </w:pPr>
      <w:r>
        <w:t>GBO will continue this program and FY2022, with a plan to improve recruitment and increase the application rate of under-represented students.  Beginning in Q4 of FY2021 through Q1 of FY2022, GBO will work with NRAO’s Office of Diversity and Inclusion to establish relationships with members of their networks. As GBO has three primary target locations from which to recruit (DC Metro area, Charlottesville and Richmond, VA), the GBO will join the Virginia Association of Teachers and exhibit at their conferences, connected with the Richmond Museum of Science.</w:t>
      </w:r>
    </w:p>
    <w:p w14:paraId="4AC3762D" w14:textId="77777777" w:rsidR="009814F2" w:rsidRPr="00EA444B" w:rsidRDefault="009814F2" w:rsidP="009814F2">
      <w:pPr>
        <w:pStyle w:val="Heading3"/>
      </w:pPr>
      <w:bookmarkStart w:id="709" w:name="_Toc337111"/>
      <w:r w:rsidRPr="00EA444B">
        <w:t>NSF INCLUDES Alliance: First2 Network</w:t>
      </w:r>
      <w:bookmarkEnd w:id="709"/>
    </w:p>
    <w:p w14:paraId="47996FAB" w14:textId="77777777" w:rsidR="009814F2" w:rsidRPr="00FF410A" w:rsidRDefault="009814F2" w:rsidP="009814F2">
      <w:r w:rsidRPr="0063692D">
        <w:t>The NSF INCLUDES Alliance:</w:t>
      </w:r>
      <w:r w:rsidRPr="00FF410A">
        <w:t xml:space="preserve"> Expanding the First2 STEM Success Network aims to i</w:t>
      </w:r>
      <w:r>
        <w:t>mprove the persistence of first-</w:t>
      </w:r>
      <w:r w:rsidRPr="00FF410A">
        <w:t xml:space="preserve">generation college STEM majors through their first two years of college. The success of the Alliance rests on three critical approaches. First, it improves student preparation for and </w:t>
      </w:r>
      <w:r w:rsidRPr="00FF410A">
        <w:lastRenderedPageBreak/>
        <w:t>transitioning to college. Second, it endeavors to replace ingrained institutional practices that stifle the development of STEM self-sufficiency. Undergraduate students are at the center of all activities—co-creators of solutions. Embedded in this idea is the FIRST Ambassadors program that guides underg</w:t>
      </w:r>
      <w:r>
        <w:t xml:space="preserve">raduate students to explore the </w:t>
      </w:r>
      <w:r w:rsidRPr="00FF410A">
        <w:t xml:space="preserve">disconnect between home life and STEM education, while reaching out to hometown students, their collegiate institutions, and state legislators. Third, the Alliance will advance our knowledge of barriers to success and solutions that increase the success of first-generation students in STEM. The First2 Network is a planned five-year program that will run through </w:t>
      </w:r>
      <w:r>
        <w:t xml:space="preserve">August </w:t>
      </w:r>
      <w:r w:rsidRPr="00FF410A">
        <w:t>2023.</w:t>
      </w:r>
    </w:p>
    <w:p w14:paraId="645DCC5C" w14:textId="77777777" w:rsidR="009814F2" w:rsidRDefault="009814F2" w:rsidP="009814F2">
      <w:r>
        <w:t>GBO</w:t>
      </w:r>
      <w:r w:rsidRPr="00FF410A">
        <w:t xml:space="preserve"> is the </w:t>
      </w:r>
      <w:r>
        <w:t>l</w:t>
      </w:r>
      <w:r w:rsidRPr="00FF410A">
        <w:t xml:space="preserve">ead PI institution for the Alliance, which currently includes higher education institutions in West Virginia, the WV Department of Education, several STEM initiatives and organizations, and the WV Higher Education Policy Commission, which manages the WV Established Program to Stimulate Competitive Research </w:t>
      </w:r>
      <w:r>
        <w:t>(</w:t>
      </w:r>
      <w:proofErr w:type="spellStart"/>
      <w:r w:rsidRPr="00FF410A">
        <w:t>EPSCoR</w:t>
      </w:r>
      <w:proofErr w:type="spellEnd"/>
      <w:r>
        <w:t>)</w:t>
      </w:r>
      <w:r w:rsidRPr="00FF410A">
        <w:t xml:space="preserve"> office.</w:t>
      </w:r>
    </w:p>
    <w:p w14:paraId="7D75CC12" w14:textId="77777777" w:rsidR="009814F2" w:rsidRPr="00EA444B" w:rsidRDefault="009814F2" w:rsidP="009814F2">
      <w:r>
        <w:t>Milestones for this work are captured and tracked as part of the NSF INCLUDES grant.</w:t>
      </w:r>
    </w:p>
    <w:p w14:paraId="2B22C8E6" w14:textId="77777777" w:rsidR="009814F2" w:rsidRPr="0063692D" w:rsidRDefault="009814F2" w:rsidP="009814F2">
      <w:pPr>
        <w:pStyle w:val="Heading3"/>
      </w:pPr>
      <w:bookmarkStart w:id="710" w:name="_Toc337112"/>
      <w:r w:rsidRPr="0063692D">
        <w:rPr>
          <w:rStyle w:val="Heading3Char"/>
          <w:b/>
          <w:bCs/>
          <w:iCs/>
        </w:rPr>
        <w:t>Pulsar Search Collaboratory</w:t>
      </w:r>
      <w:r w:rsidRPr="0063692D">
        <w:rPr>
          <w:rStyle w:val="Heading3Char"/>
          <w:b/>
          <w:bCs/>
          <w:iCs/>
        </w:rPr>
        <w:tab/>
      </w:r>
      <w:bookmarkEnd w:id="710"/>
    </w:p>
    <w:p w14:paraId="7081EADB" w14:textId="77777777" w:rsidR="009814F2" w:rsidRPr="00FF410A" w:rsidRDefault="009814F2" w:rsidP="009814F2">
      <w:r>
        <w:t>GBO</w:t>
      </w:r>
      <w:r w:rsidRPr="00FF410A">
        <w:t xml:space="preserve"> collaborates with WVU on the NSF-funded Pulsar Search Collaboratory (PSC). The PSC trains teachers and students in the techniques of pulsar searching and identifying their signatures in GBT data. They participate in online training workshops and an annual week-long summer camp at </w:t>
      </w:r>
      <w:r>
        <w:t>GBO</w:t>
      </w:r>
      <w:r w:rsidRPr="00FF410A">
        <w:t xml:space="preserve">. When a potential detection is identified, the students join PSC astronomers to re-observe the object to confirm or reject the candidate. </w:t>
      </w:r>
    </w:p>
    <w:p w14:paraId="431BC274" w14:textId="77777777" w:rsidR="009814F2" w:rsidRDefault="009814F2" w:rsidP="009814F2">
      <w:pPr>
        <w:rPr>
          <w:rFonts w:cs="GillSansMT"/>
          <w:color w:val="231F20"/>
        </w:rPr>
      </w:pPr>
      <w:r w:rsidRPr="00FF410A">
        <w:t xml:space="preserve">The PSC annually engages ~150 high school students, 20 undergraduates, 20 high school teachers, 6 graduate students, and 5–10 faculty. The PSC develops STEM self-efficacy and identity in youth and teachers, fosters belonging of all stakeholders in a STEM community, and models STEM pathways. In </w:t>
      </w:r>
      <w:r>
        <w:t>FY</w:t>
      </w:r>
      <w:r w:rsidRPr="00FF410A">
        <w:t>202</w:t>
      </w:r>
      <w:r>
        <w:t>2</w:t>
      </w:r>
      <w:r w:rsidRPr="00FF410A">
        <w:t xml:space="preserve">, the GBO will engage new teachers and students in two online workshops, </w:t>
      </w:r>
      <w:r>
        <w:t>and collaborate with</w:t>
      </w:r>
      <w:r w:rsidRPr="00FF410A">
        <w:t xml:space="preserve"> partner institutions to completely redesign the online collaboration portal. </w:t>
      </w:r>
      <w:bookmarkStart w:id="711" w:name="_Hlk79323847"/>
      <w:bookmarkStart w:id="712" w:name="_Hlk80775727"/>
      <w:r w:rsidRPr="00FF410A">
        <w:t xml:space="preserve"> </w:t>
      </w:r>
      <w:r w:rsidRPr="00D75352">
        <w:t xml:space="preserve">In FY2021, </w:t>
      </w:r>
      <w:r>
        <w:t>GBO</w:t>
      </w:r>
      <w:r w:rsidRPr="00D75352">
        <w:t xml:space="preserve"> partnered with WVU and community colleges to submit a proposal to the NSF</w:t>
      </w:r>
      <w:r>
        <w:t xml:space="preserve"> </w:t>
      </w:r>
      <w:r w:rsidRPr="00525F8D">
        <w:t>Improving Undergraduate STEM Education</w:t>
      </w:r>
      <w:r w:rsidRPr="00D75352">
        <w:t xml:space="preserve"> </w:t>
      </w:r>
      <w:r>
        <w:t>(</w:t>
      </w:r>
      <w:r w:rsidRPr="00D75352">
        <w:t>IUSE</w:t>
      </w:r>
      <w:r>
        <w:t>)</w:t>
      </w:r>
      <w:r w:rsidRPr="00D75352">
        <w:t xml:space="preserve"> program. This would fund preliminary work to build PSC research experiences into courses or extra-curricular activities at community colleges. </w:t>
      </w:r>
      <w:r>
        <w:t>GBO</w:t>
      </w:r>
      <w:r w:rsidRPr="00D75352">
        <w:t xml:space="preserve"> await</w:t>
      </w:r>
      <w:r>
        <w:t>s</w:t>
      </w:r>
      <w:r w:rsidRPr="00D75352">
        <w:t xml:space="preserve"> word on this proposal. </w:t>
      </w:r>
      <w:proofErr w:type="gramStart"/>
      <w:r w:rsidRPr="00FF410A">
        <w:t>Additionally</w:t>
      </w:r>
      <w:proofErr w:type="gramEnd"/>
      <w:r>
        <w:t xml:space="preserve"> in FY2022,</w:t>
      </w:r>
      <w:r w:rsidRPr="00FF410A">
        <w:t xml:space="preserve"> the PSC will submit one or more funding requests to build on the current PSC.</w:t>
      </w:r>
      <w:bookmarkEnd w:id="711"/>
      <w:r>
        <w:t xml:space="preserve"> In the event outside funds are not awarded, GBO will use CSA funds to limit activities to two online workshops for PSC students and teachers in October and February; support teams of advanced PSC students to conduct 20-meter research on scintillation, giant pulsars, and magnetars; pilot test the building and using of HI horn antennas; and may host a virtual capstone seminar in May. </w:t>
      </w:r>
    </w:p>
    <w:p w14:paraId="1AFFAF63" w14:textId="77777777" w:rsidR="009814F2" w:rsidRPr="00EA444B" w:rsidRDefault="009814F2" w:rsidP="009814F2">
      <w:pPr>
        <w:pStyle w:val="Heading3"/>
      </w:pPr>
      <w:bookmarkStart w:id="713" w:name="_Toc337113"/>
      <w:bookmarkEnd w:id="712"/>
      <w:r w:rsidRPr="00EA444B">
        <w:t>Skynet Junior Scholars</w:t>
      </w:r>
      <w:bookmarkEnd w:id="713"/>
    </w:p>
    <w:p w14:paraId="5DF83B3C" w14:textId="77777777" w:rsidR="009814F2" w:rsidRPr="00FF410A" w:rsidRDefault="009814F2" w:rsidP="009814F2">
      <w:r w:rsidRPr="00FF410A">
        <w:t xml:space="preserve">Skynet Junior Scholars (SJS) is a national program developed collaboratively by </w:t>
      </w:r>
      <w:r>
        <w:t>GBO</w:t>
      </w:r>
      <w:r w:rsidRPr="00FF410A">
        <w:t>, University of Chicago's Yerkes Observatory, University of North Carolina, the Astronomical Society of the Pacific, and 4-H. SJS engages middle school youth in out-of-school time programs in using research-grade robotic telescopes and data analysis tools to explore the Universe. Youth learn about the universe and prepare for STEM careers by conducting authentic astronomy research, completing astronomy-related hands-on modeling activities, and interacting with astronomers and other professionals who are part of the Skynet Robotic Telescope Network.</w:t>
      </w:r>
    </w:p>
    <w:p w14:paraId="17055793" w14:textId="77777777" w:rsidR="009814F2" w:rsidRDefault="009814F2" w:rsidP="009814F2">
      <w:r w:rsidRPr="00FF410A">
        <w:lastRenderedPageBreak/>
        <w:t>The innovative project provides a diverse community of youth (including sight- and hearing-challenged youth and those from underrepresented groups) with opportunities to use high-quality, remotely located, Internet-controlled telescopes to explore the heavens by surveying galaxies, tracking asteroids, monitoring variable stars, while learning about the nature and methods of science. The 20-Meter telescope is the only radio telescope in the network, and affords an introduction to radio astronom</w:t>
      </w:r>
      <w:r>
        <w:t>y.</w:t>
      </w:r>
      <w:bookmarkStart w:id="714" w:name="_Hlk79323944"/>
      <w:r>
        <w:t xml:space="preserve"> In FY2022, the GBO will offer </w:t>
      </w:r>
      <w:r w:rsidRPr="001D7DC3">
        <w:t>two online mini workshops to teachers and informal educators including 4-H leaders to prepare them to facilitate SJS activities with youth.</w:t>
      </w:r>
      <w:r w:rsidRPr="00FF410A">
        <w:t xml:space="preserve"> </w:t>
      </w:r>
      <w:bookmarkEnd w:id="714"/>
    </w:p>
    <w:p w14:paraId="42FD4FA9" w14:textId="77777777" w:rsidR="009814F2" w:rsidRPr="00EA444B" w:rsidRDefault="009814F2" w:rsidP="009814F2">
      <w:pPr>
        <w:pStyle w:val="Heading2"/>
      </w:pPr>
      <w:bookmarkStart w:id="715" w:name="_Toc2078299"/>
      <w:bookmarkStart w:id="716" w:name="_Toc2078300"/>
      <w:bookmarkStart w:id="717" w:name="_Toc2078301"/>
      <w:bookmarkStart w:id="718" w:name="_Toc337114"/>
      <w:bookmarkStart w:id="719" w:name="_Toc83886125"/>
      <w:bookmarkEnd w:id="715"/>
      <w:bookmarkEnd w:id="716"/>
      <w:bookmarkEnd w:id="717"/>
      <w:r w:rsidRPr="00EA444B">
        <w:t>Supporting a STEM Workforce</w:t>
      </w:r>
      <w:bookmarkEnd w:id="718"/>
      <w:bookmarkEnd w:id="719"/>
    </w:p>
    <w:p w14:paraId="0AE5D526" w14:textId="77777777" w:rsidR="009814F2" w:rsidRPr="001375E3" w:rsidRDefault="009814F2" w:rsidP="009814F2">
      <w:pPr>
        <w:rPr>
          <w:spacing w:val="-2"/>
        </w:rPr>
      </w:pPr>
      <w:r w:rsidRPr="001375E3">
        <w:rPr>
          <w:spacing w:val="-2"/>
        </w:rPr>
        <w:t xml:space="preserve">As students’ progress along their STEM career path, GBO provides mentored research experiences through summer and academic year internships, pre- and post-doctoral mentoring, and professional workshops. </w:t>
      </w:r>
    </w:p>
    <w:p w14:paraId="2E2EC29C" w14:textId="77777777" w:rsidR="009814F2" w:rsidRPr="00EA444B" w:rsidRDefault="009814F2" w:rsidP="009814F2">
      <w:pPr>
        <w:pStyle w:val="Heading3"/>
      </w:pPr>
      <w:bookmarkStart w:id="720" w:name="_Toc337115"/>
      <w:r w:rsidRPr="00EA444B">
        <w:t>Summer Research Student Program</w:t>
      </w:r>
      <w:bookmarkEnd w:id="720"/>
      <w:r w:rsidRPr="00EA444B">
        <w:t xml:space="preserve"> </w:t>
      </w:r>
    </w:p>
    <w:p w14:paraId="52ECB02A" w14:textId="77777777" w:rsidR="009814F2" w:rsidRPr="00EA444B" w:rsidRDefault="009814F2" w:rsidP="009814F2">
      <w:r w:rsidRPr="00FF410A">
        <w:t xml:space="preserve">The Summer Research Student Program brings an average of ten undergraduate and graduate students to work and live at </w:t>
      </w:r>
      <w:r>
        <w:t>GBO</w:t>
      </w:r>
      <w:r w:rsidRPr="00FF410A">
        <w:t xml:space="preserve">. Diversity is maximized through an extensive focus on demographics during the student selection process. The 10-12 weeks that these students contribute includes interaction with most divisions across the site including Hospitality, EPO, Science, Engineering, Program Management, Business Services, and the larger Green Bank community. Funding for this program is through the combination of </w:t>
      </w:r>
      <w:r>
        <w:t>GBO</w:t>
      </w:r>
      <w:r w:rsidRPr="00FF410A">
        <w:t xml:space="preserve"> program income and an NSF-REU grant.</w:t>
      </w:r>
      <w:r w:rsidRPr="00EA444B">
        <w:t xml:space="preserve"> </w:t>
      </w:r>
    </w:p>
    <w:p w14:paraId="5D2F1EC3" w14:textId="77777777" w:rsidR="009814F2" w:rsidRPr="00EA444B" w:rsidRDefault="009814F2" w:rsidP="009814F2">
      <w:pPr>
        <w:pStyle w:val="Heading3"/>
      </w:pPr>
      <w:bookmarkStart w:id="721" w:name="_Hlk79324282"/>
      <w:r w:rsidRPr="00EA444B">
        <w:t>Co-ops, Internships, and Other Programs</w:t>
      </w:r>
    </w:p>
    <w:p w14:paraId="73BC0111" w14:textId="77777777" w:rsidR="009814F2" w:rsidRPr="00FF410A" w:rsidRDefault="009814F2" w:rsidP="009814F2">
      <w:r w:rsidRPr="00FF410A">
        <w:t xml:space="preserve">The Observatory supports various training, cooperative, and mentoring programs. Each year, </w:t>
      </w:r>
      <w:r>
        <w:t xml:space="preserve">as many as </w:t>
      </w:r>
      <w:r w:rsidRPr="00FF410A">
        <w:t xml:space="preserve">36 undergraduate students and recent high school graduates participate in a summer maintenance program where they experience hands-on application of trade skills in the maintenance of </w:t>
      </w:r>
      <w:r>
        <w:t>GBO</w:t>
      </w:r>
      <w:r w:rsidRPr="00FF410A">
        <w:t xml:space="preserve"> facilities and grounds.</w:t>
      </w:r>
      <w:bookmarkEnd w:id="721"/>
      <w:r w:rsidRPr="00FF410A">
        <w:t xml:space="preserve"> </w:t>
      </w:r>
      <w:r>
        <w:t>GBO</w:t>
      </w:r>
      <w:r w:rsidRPr="00FF410A">
        <w:t xml:space="preserve"> has consistently hired recent graduates of the local high school ProStart Culinary program to serve in our Hospitality division. The summer work experience exposes early career students to basic workplace conduct, safety, and business practices.</w:t>
      </w:r>
    </w:p>
    <w:p w14:paraId="0E81EE67" w14:textId="77777777" w:rsidR="009814F2" w:rsidRPr="00FF410A" w:rsidRDefault="009814F2" w:rsidP="009814F2">
      <w:r w:rsidRPr="00FF410A">
        <w:t>Cooperative students will be invited by the Electronics</w:t>
      </w:r>
      <w:r>
        <w:t>, Software,</w:t>
      </w:r>
      <w:r w:rsidRPr="00FF410A">
        <w:t xml:space="preserve"> and Mechanical Engineering divisions to work on projects that are more extended than those undertaken during the shorter REU program period. Often the Co-op student will continue a project that has been started or supported by previous Co-ops or summer research students. </w:t>
      </w:r>
    </w:p>
    <w:p w14:paraId="29A39766" w14:textId="77777777" w:rsidR="009814F2" w:rsidRPr="00EA444B" w:rsidRDefault="009814F2" w:rsidP="009814F2">
      <w:r>
        <w:t>GBO</w:t>
      </w:r>
      <w:r w:rsidRPr="00FF410A">
        <w:t xml:space="preserve"> staff will serve as mentors to the local high school in programs both at the high school and </w:t>
      </w:r>
      <w:r>
        <w:t>GBO</w:t>
      </w:r>
      <w:r w:rsidRPr="00FF410A">
        <w:t xml:space="preserve"> facilities in STEM-related topics such as mathematics, software engineering, and electronics. </w:t>
      </w:r>
      <w:r>
        <w:t>GBO</w:t>
      </w:r>
      <w:r w:rsidRPr="00FF410A">
        <w:t xml:space="preserve"> staff have led the teaching of the </w:t>
      </w:r>
      <w:r>
        <w:t xml:space="preserve">middle and </w:t>
      </w:r>
      <w:r w:rsidRPr="00FF410A">
        <w:t>high school computer classes and robotics programs.</w:t>
      </w:r>
      <w:r w:rsidRPr="00EA444B">
        <w:t xml:space="preserve"> </w:t>
      </w:r>
    </w:p>
    <w:p w14:paraId="03F3DD74" w14:textId="77777777" w:rsidR="009814F2" w:rsidRPr="00EA444B" w:rsidRDefault="009814F2" w:rsidP="009814F2">
      <w:pPr>
        <w:pStyle w:val="Heading3"/>
      </w:pPr>
      <w:bookmarkStart w:id="722" w:name="_Toc337116"/>
      <w:bookmarkStart w:id="723" w:name="_Hlk79324317"/>
      <w:r w:rsidRPr="00EA444B">
        <w:t>Post-doctoral Research Positions</w:t>
      </w:r>
      <w:bookmarkEnd w:id="722"/>
    </w:p>
    <w:p w14:paraId="3D8363DD" w14:textId="77777777" w:rsidR="009814F2" w:rsidRPr="00EA444B" w:rsidRDefault="009814F2" w:rsidP="009814F2">
      <w:bookmarkStart w:id="724" w:name="_Hlk79324359"/>
      <w:bookmarkEnd w:id="723"/>
      <w:r>
        <w:t>GBO</w:t>
      </w:r>
      <w:r w:rsidRPr="001F1EBC">
        <w:t xml:space="preserve"> typically employs two to three postdoctoral research fellows, a level expected to continue through the next five years. </w:t>
      </w:r>
      <w:bookmarkEnd w:id="724"/>
      <w:r w:rsidRPr="001F1EBC">
        <w:t xml:space="preserve">All post-docs are given approximately 50% of their time to formulate and carry out scientific research either independently or in collaboration with other scientists within the wide framework of </w:t>
      </w:r>
      <w:r>
        <w:t>GBO</w:t>
      </w:r>
      <w:r w:rsidRPr="001F1EBC">
        <w:t xml:space="preserve"> interests. The remaining 50% of their time is dedicated to supporting the </w:t>
      </w:r>
      <w:r>
        <w:t>GBO</w:t>
      </w:r>
      <w:r w:rsidRPr="001F1EBC">
        <w:t xml:space="preserve">, primarily through observer support and aiding in the testing or commissioning of instruments. </w:t>
      </w:r>
      <w:r w:rsidRPr="002B1111">
        <w:t xml:space="preserve">In accordance with </w:t>
      </w:r>
      <w:r>
        <w:t>GBO</w:t>
      </w:r>
      <w:r w:rsidRPr="002B1111">
        <w:t xml:space="preserve">’s postdoctoral mentoring plan, all post-docs are given a mentor who meets with </w:t>
      </w:r>
      <w:r w:rsidRPr="002B1111">
        <w:lastRenderedPageBreak/>
        <w:t xml:space="preserve">them on a regular basis to ensure their career plans and scientific research are moving forward at a reasonable pace. </w:t>
      </w:r>
      <w:r w:rsidRPr="001F1EBC">
        <w:t xml:space="preserve"> Post-docs are also given an annual travel budget that can be used for any research related travel at their discretion.</w:t>
      </w:r>
      <w:r>
        <w:t xml:space="preserve"> </w:t>
      </w:r>
    </w:p>
    <w:p w14:paraId="749ADC04" w14:textId="77777777" w:rsidR="009814F2" w:rsidRPr="00EA444B" w:rsidRDefault="009814F2" w:rsidP="009814F2">
      <w:pPr>
        <w:pStyle w:val="Heading3"/>
      </w:pPr>
      <w:bookmarkStart w:id="725" w:name="_Toc337117"/>
      <w:bookmarkStart w:id="726" w:name="_Hlk79324386"/>
      <w:r w:rsidRPr="00EA444B">
        <w:t>Student Workshops</w:t>
      </w:r>
      <w:bookmarkEnd w:id="725"/>
      <w:r w:rsidRPr="00EA444B">
        <w:t xml:space="preserve"> and Observer Training</w:t>
      </w:r>
    </w:p>
    <w:bookmarkEnd w:id="726"/>
    <w:p w14:paraId="73F77146" w14:textId="77777777" w:rsidR="009814F2" w:rsidRPr="001F1EBC" w:rsidRDefault="009814F2" w:rsidP="009814F2">
      <w:r w:rsidRPr="00F250FB">
        <w:t xml:space="preserve">In partnership with NRAO, </w:t>
      </w:r>
      <w:r>
        <w:t>GBO</w:t>
      </w:r>
      <w:r w:rsidRPr="00F250FB">
        <w:t xml:space="preserve"> hosts an annual </w:t>
      </w:r>
      <w:r>
        <w:t>five</w:t>
      </w:r>
      <w:r w:rsidRPr="00F250FB">
        <w:t xml:space="preserve">-day Undergraduate Radio Astronomy Workshop at the beginning of the summer to introduce </w:t>
      </w:r>
      <w:r>
        <w:t xml:space="preserve">all GBO and NRAO </w:t>
      </w:r>
      <w:r w:rsidRPr="00F250FB">
        <w:t>summer students to radio astronomy and to train the students on basic radio astronomy techniques, observation st</w:t>
      </w:r>
      <w:r>
        <w:t xml:space="preserve">rategies, and data reduction. </w:t>
      </w:r>
      <w:r w:rsidRPr="00F250FB">
        <w:t xml:space="preserve">Sessions are designed and presented by NRAO and </w:t>
      </w:r>
      <w:r>
        <w:t>GBO</w:t>
      </w:r>
      <w:r w:rsidRPr="00F250FB">
        <w:t xml:space="preserve"> scientific staff. This integral part of the summer student program will continue.</w:t>
      </w:r>
    </w:p>
    <w:p w14:paraId="76C172F4" w14:textId="77777777" w:rsidR="009814F2" w:rsidRDefault="009814F2" w:rsidP="009814F2">
      <w:r>
        <w:t>GBO</w:t>
      </w:r>
      <w:r w:rsidRPr="001F1EBC">
        <w:t>’s annual Single Dish Summer School and the triannual GBT Remote Observer Workshop are covered in S</w:t>
      </w:r>
      <w:r>
        <w:t>ection 5.1</w:t>
      </w:r>
      <w:r w:rsidRPr="001F1EBC">
        <w:t>.</w:t>
      </w:r>
    </w:p>
    <w:p w14:paraId="7663E376" w14:textId="77777777" w:rsidR="009814F2" w:rsidRDefault="009814F2" w:rsidP="009814F2">
      <w:pPr>
        <w:pStyle w:val="Heading3"/>
      </w:pPr>
      <w:r>
        <w:t>Teacher Professional Development</w:t>
      </w:r>
    </w:p>
    <w:p w14:paraId="711A2A90" w14:textId="77777777" w:rsidR="009814F2" w:rsidRDefault="009814F2" w:rsidP="009814F2">
      <w:r w:rsidRPr="004065F1">
        <w:t>The GBO leads several teacher professional development programs, and these are expected to con</w:t>
      </w:r>
      <w:r>
        <w:t>tinue</w:t>
      </w:r>
      <w:r w:rsidRPr="004065F1">
        <w:t xml:space="preserve"> in FY2022</w:t>
      </w:r>
      <w:bookmarkStart w:id="727" w:name="_Hlk79324677"/>
      <w:r>
        <w:t>.</w:t>
      </w:r>
      <w:r w:rsidRPr="004065F1">
        <w:tab/>
      </w:r>
    </w:p>
    <w:p w14:paraId="13DFCA88" w14:textId="77777777" w:rsidR="009814F2" w:rsidRDefault="009814F2" w:rsidP="009814F2">
      <w:pPr>
        <w:pStyle w:val="Heading4"/>
      </w:pPr>
      <w:r w:rsidRPr="005D5690">
        <w:rPr>
          <w:b/>
          <w:i w:val="0"/>
        </w:rPr>
        <w:t>Leap into Science</w:t>
      </w:r>
    </w:p>
    <w:p w14:paraId="0B696C65" w14:textId="77777777" w:rsidR="009814F2" w:rsidRPr="004065F1" w:rsidRDefault="009814F2" w:rsidP="009814F2">
      <w:r w:rsidRPr="004065F1">
        <w:t>Combining literature and hands-on STEM activities, Leap into Science prepares librarians, informal educators</w:t>
      </w:r>
      <w:r>
        <w:t>,</w:t>
      </w:r>
      <w:r w:rsidRPr="004065F1">
        <w:t xml:space="preserve"> and elementary school teachers to offer STEM programming to young children and families using pre-prepared kits of materials. GBO is a West Virginia lead organization for this national program.</w:t>
      </w:r>
    </w:p>
    <w:p w14:paraId="66701FE1" w14:textId="77777777" w:rsidR="009814F2" w:rsidRPr="005D5690" w:rsidRDefault="009814F2" w:rsidP="009814F2">
      <w:pPr>
        <w:pStyle w:val="Heading4"/>
        <w:rPr>
          <w:b/>
          <w:i w:val="0"/>
        </w:rPr>
      </w:pPr>
      <w:r w:rsidRPr="005D5690">
        <w:rPr>
          <w:b/>
          <w:i w:val="0"/>
        </w:rPr>
        <w:t>STEP UP</w:t>
      </w:r>
    </w:p>
    <w:p w14:paraId="7683D5A0" w14:textId="77777777" w:rsidR="009814F2" w:rsidRPr="00EA444B" w:rsidRDefault="009814F2" w:rsidP="009814F2">
      <w:pPr>
        <w:rPr>
          <w:rFonts w:cs="GillSansMT-Italic"/>
          <w:iCs/>
        </w:rPr>
      </w:pPr>
      <w:bookmarkStart w:id="728" w:name="_Hlk80775906"/>
      <w:r w:rsidRPr="004065F1">
        <w:t xml:space="preserve">STEP Up is a program of the American Institute of Physics designed to attract more women into the Physical Sciences. </w:t>
      </w:r>
      <w:r>
        <w:t>GBO</w:t>
      </w:r>
      <w:r w:rsidRPr="004065F1">
        <w:t xml:space="preserve"> EPO staff are leaders in this program and offer teacher professional development at state science teacher conferences, and as stand-alone events.</w:t>
      </w:r>
      <w:r>
        <w:t xml:space="preserve"> The EPO Educational Assistant</w:t>
      </w:r>
      <w:r w:rsidRPr="008F2391">
        <w:t xml:space="preserve"> is a STEP U</w:t>
      </w:r>
      <w:r>
        <w:t>P</w:t>
      </w:r>
      <w:r w:rsidRPr="008F2391">
        <w:t xml:space="preserve"> Ambassador and has been trained in delivering the presentations. In FY202</w:t>
      </w:r>
      <w:r>
        <w:t>2,</w:t>
      </w:r>
      <w:r w:rsidRPr="008F2391">
        <w:t xml:space="preserve"> </w:t>
      </w:r>
      <w:r>
        <w:t xml:space="preserve">GBO will fund preparation and </w:t>
      </w:r>
      <w:r w:rsidRPr="008F2391">
        <w:t>deliver</w:t>
      </w:r>
      <w:r>
        <w:t xml:space="preserve">y of </w:t>
      </w:r>
      <w:r w:rsidRPr="008F2391">
        <w:t xml:space="preserve">two workshops to teachers. One </w:t>
      </w:r>
      <w:r>
        <w:t xml:space="preserve">staff member will attend each </w:t>
      </w:r>
      <w:r w:rsidRPr="008F2391">
        <w:t xml:space="preserve">workshop </w:t>
      </w:r>
      <w:r>
        <w:t xml:space="preserve">which </w:t>
      </w:r>
      <w:r w:rsidRPr="008F2391">
        <w:t xml:space="preserve">will be held at </w:t>
      </w:r>
      <w:r>
        <w:t>the</w:t>
      </w:r>
      <w:r w:rsidRPr="008F2391">
        <w:t xml:space="preserve"> WV Science Teachers Association Meeting</w:t>
      </w:r>
      <w:r>
        <w:t xml:space="preserve"> with </w:t>
      </w:r>
      <w:r w:rsidRPr="008F2391">
        <w:t>the other in spring or summer.</w:t>
      </w:r>
    </w:p>
    <w:p w14:paraId="3AA741A1" w14:textId="77777777" w:rsidR="009814F2" w:rsidRPr="00EA444B" w:rsidRDefault="009814F2" w:rsidP="009814F2">
      <w:pPr>
        <w:pStyle w:val="Heading3"/>
      </w:pPr>
      <w:bookmarkStart w:id="729" w:name="_Hlk79324748"/>
      <w:bookmarkEnd w:id="727"/>
      <w:bookmarkEnd w:id="728"/>
      <w:r w:rsidRPr="00EA444B">
        <w:t>Chautauqua Short Courses</w:t>
      </w:r>
      <w:bookmarkEnd w:id="729"/>
      <w:r w:rsidRPr="00EA444B">
        <w:t xml:space="preserve"> </w:t>
      </w:r>
    </w:p>
    <w:p w14:paraId="3D8D838C" w14:textId="77777777" w:rsidR="009814F2" w:rsidRPr="00EA444B" w:rsidRDefault="009814F2" w:rsidP="009814F2">
      <w:r w:rsidRPr="004B23E5">
        <w:t xml:space="preserve">Chautauqua Short Courses are hosted annually at the Observatory and bring together Observatory scientists and engineers to meet intensively over several days with undergraduate college science teachers. These workshops provide an opportunity for invited scholars to communicate new knowledge, concepts, and techniques directly to college teachers in ways that are immediately beneficial to their teaching. </w:t>
      </w:r>
      <w:r w:rsidRPr="00DD355C">
        <w:t xml:space="preserve">The program was suspended in FY2020 and FY2021 due </w:t>
      </w:r>
      <w:r w:rsidRPr="00D03856">
        <w:t>to travel restrictions imposed by COVID-19. The Green Bank program is expected to continue in FY2022.</w:t>
      </w:r>
      <w:r w:rsidRPr="00EA444B">
        <w:t xml:space="preserve"> </w:t>
      </w:r>
    </w:p>
    <w:p w14:paraId="78FC6554" w14:textId="77777777" w:rsidR="009814F2" w:rsidRPr="00EA444B" w:rsidRDefault="009814F2" w:rsidP="009814F2">
      <w:pPr>
        <w:pStyle w:val="Heading2"/>
      </w:pPr>
      <w:bookmarkStart w:id="730" w:name="_Toc83886126"/>
      <w:r w:rsidRPr="00EA444B">
        <w:t xml:space="preserve">Externally Run Programs Supported by </w:t>
      </w:r>
      <w:r>
        <w:t>GBO</w:t>
      </w:r>
      <w:bookmarkEnd w:id="730"/>
    </w:p>
    <w:p w14:paraId="05C82EB2" w14:textId="77777777" w:rsidR="009814F2" w:rsidRPr="00D03856" w:rsidRDefault="009814F2" w:rsidP="009814F2">
      <w:pPr>
        <w:rPr>
          <w:spacing w:val="4"/>
        </w:rPr>
      </w:pPr>
      <w:r w:rsidRPr="00D03856">
        <w:rPr>
          <w:spacing w:val="4"/>
        </w:rPr>
        <w:t>GBO hosts and supports numerous external groups that provide educational programs and workshops, including:</w:t>
      </w:r>
    </w:p>
    <w:p w14:paraId="6BB41AC8" w14:textId="77777777" w:rsidR="009814F2" w:rsidRPr="00EA444B" w:rsidRDefault="009814F2" w:rsidP="009814F2">
      <w:r w:rsidRPr="00D270B9">
        <w:rPr>
          <w:b/>
        </w:rPr>
        <w:lastRenderedPageBreak/>
        <w:t>The Undergraduate ALFALFA Team</w:t>
      </w:r>
      <w:r w:rsidRPr="00D270B9">
        <w:t>:</w:t>
      </w:r>
      <w:r w:rsidRPr="00EA444B">
        <w:t xml:space="preserve"> </w:t>
      </w:r>
      <w:r w:rsidRPr="004B23E5">
        <w:t xml:space="preserve">A consortium of 23 undergraduate-focused institutions that collaborate on a multi-faceted program to promote undergraduate research within the ALFALFA (Arecibo Legacy Fast ALFA, where ALFA refers to the Arecibo L-band Feed Array detector). The ALFALFA team has successfully involved 126 undergraduates and 21 faculty mentors (~50% women) to offer undergraduates and faculty at its diverse set of institutions access to cutting-edge collaborative research projects within a major legacy survey. The program runs an annual team workshop at </w:t>
      </w:r>
      <w:r>
        <w:t>GBO</w:t>
      </w:r>
      <w:r w:rsidRPr="004B23E5">
        <w:t xml:space="preserve"> which will continue in FY202</w:t>
      </w:r>
      <w:r>
        <w:t>2</w:t>
      </w:r>
      <w:r w:rsidRPr="004B23E5">
        <w:t>.</w:t>
      </w:r>
      <w:r>
        <w:t xml:space="preserve"> With the demise of the Arecibo telescope, the ALFALFA group are continuing to work through archived Arecibo data.  Green Bank staff are working with the ALFALFA group to explore moving more of their observations to the GBT.</w:t>
      </w:r>
    </w:p>
    <w:p w14:paraId="77746CBB" w14:textId="77777777" w:rsidR="009814F2" w:rsidRPr="00EA444B" w:rsidRDefault="009814F2" w:rsidP="009814F2">
      <w:pPr>
        <w:spacing w:after="320" w:line="257" w:lineRule="auto"/>
      </w:pPr>
      <w:r w:rsidRPr="00D270B9">
        <w:rPr>
          <w:b/>
        </w:rPr>
        <w:t>ERIRA</w:t>
      </w:r>
      <w:r w:rsidRPr="00D270B9">
        <w:t>:</w:t>
      </w:r>
      <w:r w:rsidRPr="00EA444B">
        <w:t xml:space="preserve"> Every summer since 1992, Professor Dan Reichart of the University of North Carolina (UNC) and a small group of radio astronomy educators from across the country have taken 15 mostly undergraduate </w:t>
      </w:r>
      <w:r w:rsidRPr="00EA444B">
        <w:rPr>
          <w:color w:val="000000" w:themeColor="text1"/>
        </w:rPr>
        <w:t xml:space="preserve">students but also a few high school students and occasionally a member of the general </w:t>
      </w:r>
      <w:r w:rsidRPr="0088429D">
        <w:rPr>
          <w:color w:val="000000" w:themeColor="text1"/>
          <w:spacing w:val="-2"/>
        </w:rPr>
        <w:t>public on an intense, one-week workshop at GBO called Educational Research in Radio Astronomy (ERIRA). This program was cancelled for FY2020 and FY2021 due to the COVID-19 pandemic and related issues.</w:t>
      </w:r>
    </w:p>
    <w:p w14:paraId="487C285C" w14:textId="77777777" w:rsidR="009814F2" w:rsidRPr="00EA444B" w:rsidRDefault="009814F2" w:rsidP="009814F2">
      <w:pPr>
        <w:pStyle w:val="Heading2"/>
      </w:pPr>
      <w:bookmarkStart w:id="731" w:name="_Toc78184069"/>
      <w:bookmarkStart w:id="732" w:name="_Toc79135962"/>
      <w:bookmarkStart w:id="733" w:name="_Toc83886127"/>
      <w:bookmarkStart w:id="734" w:name="_Hlk79324971"/>
      <w:bookmarkEnd w:id="731"/>
      <w:bookmarkEnd w:id="732"/>
      <w:r w:rsidRPr="00EA444B">
        <w:t>Public Outreach and Visitor Programs</w:t>
      </w:r>
      <w:bookmarkEnd w:id="733"/>
    </w:p>
    <w:p w14:paraId="5E2536F3" w14:textId="77777777" w:rsidR="009814F2" w:rsidRDefault="009814F2" w:rsidP="009814F2">
      <w:r>
        <w:t xml:space="preserve">The COVID-19 pandemic had a dramatic effect on FY2021 public outreach and visitor programs, with most of the face-to-face programs suspended for the year.  However, a record number of virtual programs were offered attracting a geographically diverse audience.  As GBO begins to return to normal operations in FY2022, it plans to continue to offer these popular virtual events.  Specifically, </w:t>
      </w:r>
      <w:bookmarkStart w:id="735" w:name="_Hlk80776063"/>
      <w:r>
        <w:t>GBO will offer monthly virtual tours of the observatory, continue to offer classroom visits on demand</w:t>
      </w:r>
      <w:bookmarkEnd w:id="735"/>
      <w:r>
        <w:t xml:space="preserve">. </w:t>
      </w:r>
      <w:bookmarkEnd w:id="734"/>
      <w:r>
        <w:t xml:space="preserve">For example, in FY2020, </w:t>
      </w:r>
      <w:r w:rsidRPr="0088429D">
        <w:rPr>
          <w:spacing w:val="-2"/>
        </w:rPr>
        <w:t>GBO supported Green Bank Elementary/Middle School’s live contact with an astronaut at the International Space Station, and GBO organized a multi-day, multi-month celebration of the GBT 20</w:t>
      </w:r>
      <w:r w:rsidRPr="0088429D">
        <w:rPr>
          <w:spacing w:val="-2"/>
          <w:vertAlign w:val="superscript"/>
        </w:rPr>
        <w:t>th</w:t>
      </w:r>
      <w:r w:rsidRPr="0088429D">
        <w:rPr>
          <w:spacing w:val="-2"/>
        </w:rPr>
        <w:t xml:space="preserve"> anniversary.</w:t>
      </w:r>
    </w:p>
    <w:p w14:paraId="54B9E6D6" w14:textId="77777777" w:rsidR="009814F2" w:rsidRPr="004B23E5" w:rsidRDefault="009814F2" w:rsidP="009814F2">
      <w:r>
        <w:t>GBO</w:t>
      </w:r>
      <w:r w:rsidRPr="004B23E5">
        <w:t xml:space="preserve"> hosts a 25,000 square foot visitor facility—the Erma Byrd Green Bank Science Center. The Green Bank Science Center is open year-round and serves as the starting point for guided tours of </w:t>
      </w:r>
      <w:r>
        <w:t>GBO. The Science Cen</w:t>
      </w:r>
      <w:r w:rsidRPr="004B23E5">
        <w:t xml:space="preserve">ter includes the </w:t>
      </w:r>
      <w:r w:rsidRPr="0088429D">
        <w:rPr>
          <w:i/>
        </w:rPr>
        <w:t>Catching the Wave</w:t>
      </w:r>
      <w:r w:rsidRPr="004B23E5">
        <w:t xml:space="preserve"> Exhibit Hall, an interactive room filled with exhibits explaining radio astronomy, a 150-seat auditorium, classrooms, a gift shop, and the Starlight Café. </w:t>
      </w:r>
      <w:r>
        <w:t>GBO’s</w:t>
      </w:r>
      <w:r w:rsidRPr="004B23E5">
        <w:t xml:space="preserve"> public outreach program includes Observatory tours for casual visitors, development of interactive exhibits for the public, outreach to teachers, students and the public, and special programs for K-16 students, scouts and families. </w:t>
      </w:r>
    </w:p>
    <w:p w14:paraId="7AD9826B" w14:textId="77777777" w:rsidR="009814F2" w:rsidRDefault="009814F2" w:rsidP="009814F2">
      <w:r>
        <w:t>Normally t</w:t>
      </w:r>
      <w:r w:rsidRPr="004B7886">
        <w:t>he tour program draws roughly 45,000 visitors each year</w:t>
      </w:r>
      <w:r w:rsidRPr="004B7886">
        <w:rPr>
          <w:rStyle w:val="FootnoteReference"/>
          <w:spacing w:val="-4"/>
        </w:rPr>
        <w:footnoteReference w:id="3"/>
      </w:r>
      <w:r w:rsidRPr="004B7886">
        <w:t xml:space="preserve">, a remarkable number for such a remote location. Visitors experience interactive displays in the 5,000 square foot exhibit hall, hear presentations about radio astronomy, and take tours around </w:t>
      </w:r>
      <w:r>
        <w:t>GBO</w:t>
      </w:r>
      <w:r w:rsidRPr="004B7886">
        <w:t xml:space="preserve">. Four types of tours are currently given. The daily telescope tours give a look into the world of radio astronomy, and include science demonstrations and a bus excursion into the electronics-restricted zone around the telescopes. </w:t>
      </w:r>
      <w:r>
        <w:lastRenderedPageBreak/>
        <w:t>Suspended in FY2021, t</w:t>
      </w:r>
      <w:r w:rsidRPr="004B7886">
        <w:t xml:space="preserve">he Science Center </w:t>
      </w:r>
      <w:r>
        <w:t>will reinstate the</w:t>
      </w:r>
      <w:r w:rsidRPr="004B7886">
        <w:t xml:space="preserve"> monthly high-tech tours through the engineering labs and telescope control rooms, and biweekly SETI tours that celebrate Green Bank’s historic and current role in the search for extraterrestrial intelligence. The SETI tour includes admittance into the </w:t>
      </w:r>
      <w:proofErr w:type="spellStart"/>
      <w:r w:rsidRPr="004B7886">
        <w:t>Tatel</w:t>
      </w:r>
      <w:proofErr w:type="spellEnd"/>
      <w:r w:rsidRPr="004B7886">
        <w:t xml:space="preserve"> telescope and the 140-Foot telescope’s control room and a question and answer period with </w:t>
      </w:r>
      <w:r>
        <w:t>a GBO</w:t>
      </w:r>
      <w:r w:rsidRPr="004B7886">
        <w:t xml:space="preserve"> astronomer. Self-guided walking tours are also available.</w:t>
      </w:r>
      <w:r>
        <w:t xml:space="preserve">  </w:t>
      </w:r>
    </w:p>
    <w:p w14:paraId="056D4B8B" w14:textId="77777777" w:rsidR="009814F2" w:rsidRPr="004B7886" w:rsidRDefault="009814F2" w:rsidP="009814F2">
      <w:bookmarkStart w:id="736" w:name="_Hlk79325049"/>
      <w:r>
        <w:t>One additional change that occurred in FY2021 as the GBO Science Center re-opened after a 14-month shutdown due to the pandemic, was the addition of a charge to enter into the Science Center exhibit hall. This change will be explored, and is likely to continue into the future.</w:t>
      </w:r>
    </w:p>
    <w:bookmarkEnd w:id="736"/>
    <w:p w14:paraId="4CF7D2F6" w14:textId="77777777" w:rsidR="009814F2" w:rsidRPr="00EA444B" w:rsidRDefault="009814F2" w:rsidP="009814F2">
      <w:pPr>
        <w:pStyle w:val="Heading3"/>
      </w:pPr>
      <w:r w:rsidRPr="00EA444B">
        <w:t>Radio Astronomer for a Day</w:t>
      </w:r>
    </w:p>
    <w:p w14:paraId="5A64FB6F" w14:textId="77777777" w:rsidR="009814F2" w:rsidRPr="004B23E5" w:rsidRDefault="009814F2" w:rsidP="009814F2">
      <w:r>
        <w:t>GBO</w:t>
      </w:r>
      <w:r w:rsidRPr="004B23E5">
        <w:t xml:space="preserve"> also hosts school field trips throughout the year, which engage students in hands-on astronomy, engineering, and coding activities. </w:t>
      </w:r>
    </w:p>
    <w:p w14:paraId="6F0EC9E2" w14:textId="77777777" w:rsidR="009814F2" w:rsidRPr="004B23E5" w:rsidRDefault="009814F2" w:rsidP="009814F2">
      <w:r>
        <w:t>GBO</w:t>
      </w:r>
      <w:r w:rsidRPr="004B23E5">
        <w:t>’s signature field trip program engages up to 2,000 students each year</w:t>
      </w:r>
      <w:r>
        <w:rPr>
          <w:rStyle w:val="FootnoteReference"/>
        </w:rPr>
        <w:footnoteReference w:id="4"/>
      </w:r>
      <w:r w:rsidRPr="004B23E5">
        <w:t xml:space="preserve"> in observational projects using the 40-Foot telescope. The 40-Foot is maintained as an analog instrument so that students can easily learn to operate the telescope and understand its workings. After collecting data with the telescope overnight, a data reduction and interpretation discussion ensues that is focused more on the research process than physics/astronomy content. Students are guided to form explanations and debate the strength of each one, based on their data. </w:t>
      </w:r>
    </w:p>
    <w:p w14:paraId="2563C6E8" w14:textId="77777777" w:rsidR="009814F2" w:rsidRDefault="009814F2" w:rsidP="009814F2">
      <w:r w:rsidRPr="004B23E5">
        <w:t xml:space="preserve">Students and teachers visit Green Bank, typically in small groups of a few dozen students with their teachers, for sessions lasting two to three days. Students are housed in the </w:t>
      </w:r>
      <w:r>
        <w:t>GBO</w:t>
      </w:r>
      <w:r w:rsidRPr="004B23E5">
        <w:t xml:space="preserve"> bunkhouse and take meals in the cafeteria. They receive in-depth tours of the electronics labs, training in use of the 40-Foot telescope, and interactions with </w:t>
      </w:r>
      <w:r>
        <w:t>GBO</w:t>
      </w:r>
      <w:r w:rsidRPr="004B23E5">
        <w:t xml:space="preserve"> staff. Trips can be arranged to coincide with current classroom curricula or other visits in the Green Bank area.</w:t>
      </w:r>
    </w:p>
    <w:p w14:paraId="7FD28A05" w14:textId="77777777" w:rsidR="009814F2" w:rsidRPr="00EA444B" w:rsidRDefault="009814F2" w:rsidP="009814F2">
      <w:r>
        <w:t>Restart of this program will begin in Q1 of FY2022, although the start will be slow due to the requirement for all participants to be fully vaccinated against the COVID-19 virus.</w:t>
      </w:r>
    </w:p>
    <w:p w14:paraId="4B05D68E" w14:textId="77777777" w:rsidR="009814F2" w:rsidRPr="00EA444B" w:rsidRDefault="009814F2" w:rsidP="009814F2">
      <w:pPr>
        <w:pStyle w:val="Heading3"/>
      </w:pPr>
      <w:r w:rsidRPr="00EA444B">
        <w:t>Special Events</w:t>
      </w:r>
    </w:p>
    <w:p w14:paraId="3A04DF6D" w14:textId="77777777" w:rsidR="009814F2" w:rsidRDefault="009814F2" w:rsidP="009814F2">
      <w:r w:rsidRPr="004B23E5">
        <w:t>Special events are held on site, including quarterly family science labs for young children and their families, annual open house events, and multi-day Star Parties. These events cultivate an interest in scientific discovery among members of the community and the public with a focus on family members and children</w:t>
      </w:r>
      <w:r w:rsidRPr="00EA444B">
        <w:t>.</w:t>
      </w:r>
    </w:p>
    <w:p w14:paraId="67FC2A44" w14:textId="77777777" w:rsidR="009814F2" w:rsidRPr="00EA444B" w:rsidRDefault="009814F2" w:rsidP="009814F2">
      <w:pPr>
        <w:pStyle w:val="Heading2"/>
      </w:pPr>
      <w:bookmarkStart w:id="737" w:name="_Toc83886128"/>
      <w:r w:rsidRPr="00EA444B">
        <w:t>Community Outreach</w:t>
      </w:r>
      <w:bookmarkEnd w:id="737"/>
    </w:p>
    <w:p w14:paraId="4FEE7275" w14:textId="77777777" w:rsidR="009814F2" w:rsidRDefault="009814F2" w:rsidP="009814F2">
      <w:r w:rsidRPr="00CD2DF1">
        <w:t xml:space="preserve">A healthy workforce requires a healthy community in which to live and work. With this in mind, </w:t>
      </w:r>
      <w:r>
        <w:t>GBO</w:t>
      </w:r>
      <w:r w:rsidRPr="00CD2DF1">
        <w:t xml:space="preserve"> strives to be an active member of the local community, providing expertise and aid in many areas. A listing of programs in which </w:t>
      </w:r>
      <w:r>
        <w:t>GBO</w:t>
      </w:r>
      <w:r w:rsidRPr="00CD2DF1">
        <w:t xml:space="preserve"> is currently involved is given below. It is expected all these commitments will continue in FY202</w:t>
      </w:r>
      <w:r>
        <w:t>2.</w:t>
      </w:r>
    </w:p>
    <w:p w14:paraId="09A9C0BC" w14:textId="77777777" w:rsidR="009814F2" w:rsidRPr="000B5C0A" w:rsidRDefault="009814F2" w:rsidP="009814F2">
      <w:pPr>
        <w:pStyle w:val="ListParagraph"/>
        <w:numPr>
          <w:ilvl w:val="0"/>
          <w:numId w:val="40"/>
        </w:numPr>
      </w:pPr>
      <w:r w:rsidRPr="000B5C0A">
        <w:t>Pocahontas County Science Fair</w:t>
      </w:r>
    </w:p>
    <w:p w14:paraId="505391AF" w14:textId="77777777" w:rsidR="009814F2" w:rsidRPr="003D57A7" w:rsidRDefault="009814F2" w:rsidP="009814F2">
      <w:pPr>
        <w:pStyle w:val="ListParagraph"/>
        <w:numPr>
          <w:ilvl w:val="0"/>
          <w:numId w:val="11"/>
        </w:numPr>
      </w:pPr>
      <w:r w:rsidRPr="003D57A7">
        <w:t xml:space="preserve">Pocahontas County Math Field Day </w:t>
      </w:r>
    </w:p>
    <w:p w14:paraId="3108D8EB" w14:textId="77777777" w:rsidR="009814F2" w:rsidRPr="003D57A7" w:rsidRDefault="009814F2" w:rsidP="009814F2">
      <w:pPr>
        <w:pStyle w:val="ListParagraph"/>
        <w:numPr>
          <w:ilvl w:val="0"/>
          <w:numId w:val="11"/>
        </w:numPr>
      </w:pPr>
      <w:r w:rsidRPr="003D57A7">
        <w:lastRenderedPageBreak/>
        <w:t>Pocahontas County High School Computer Science class</w:t>
      </w:r>
    </w:p>
    <w:p w14:paraId="3B7669E4" w14:textId="77777777" w:rsidR="009814F2" w:rsidRDefault="009814F2" w:rsidP="009814F2">
      <w:pPr>
        <w:pStyle w:val="ListParagraph"/>
        <w:numPr>
          <w:ilvl w:val="0"/>
          <w:numId w:val="11"/>
        </w:numPr>
      </w:pPr>
      <w:r w:rsidRPr="003D57A7">
        <w:t xml:space="preserve">Pocahontas County High School Robotics and Mathematics class </w:t>
      </w:r>
    </w:p>
    <w:p w14:paraId="48C92459" w14:textId="77777777" w:rsidR="009814F2" w:rsidRDefault="009814F2" w:rsidP="009814F2">
      <w:pPr>
        <w:pStyle w:val="ListParagraph"/>
        <w:numPr>
          <w:ilvl w:val="0"/>
          <w:numId w:val="11"/>
        </w:numPr>
      </w:pPr>
      <w:r>
        <w:t>Pocahontas County High School After School Robotics Team</w:t>
      </w:r>
    </w:p>
    <w:p w14:paraId="67843FF9" w14:textId="77777777" w:rsidR="009814F2" w:rsidRPr="003D57A7" w:rsidRDefault="009814F2" w:rsidP="009814F2">
      <w:pPr>
        <w:pStyle w:val="ListParagraph"/>
      </w:pPr>
      <w:r w:rsidRPr="003D57A7">
        <w:t>Secondary School Career days</w:t>
      </w:r>
    </w:p>
    <w:p w14:paraId="579724E6" w14:textId="77777777" w:rsidR="009814F2" w:rsidRPr="003D57A7" w:rsidRDefault="009814F2" w:rsidP="009814F2">
      <w:pPr>
        <w:pStyle w:val="ListParagraph"/>
        <w:numPr>
          <w:ilvl w:val="0"/>
          <w:numId w:val="11"/>
        </w:numPr>
      </w:pPr>
      <w:r w:rsidRPr="003D57A7">
        <w:t>Hour of Code Events</w:t>
      </w:r>
    </w:p>
    <w:p w14:paraId="5C6F658B" w14:textId="77777777" w:rsidR="009814F2" w:rsidRPr="003D57A7" w:rsidRDefault="009814F2" w:rsidP="009814F2">
      <w:pPr>
        <w:pStyle w:val="ListParagraph"/>
        <w:numPr>
          <w:ilvl w:val="0"/>
          <w:numId w:val="11"/>
        </w:numPr>
      </w:pPr>
      <w:r w:rsidRPr="003D57A7">
        <w:t>STEM scholarships</w:t>
      </w:r>
    </w:p>
    <w:p w14:paraId="3897651B" w14:textId="77777777" w:rsidR="009814F2" w:rsidRDefault="009814F2" w:rsidP="009814F2">
      <w:r>
        <w:t>GBO</w:t>
      </w:r>
      <w:r w:rsidRPr="004B23E5">
        <w:t xml:space="preserve"> staff also volunteer outside of their work duties to aid the community in many ways, from coaching local sports teams to helping with the public library system, providing announcements for sporting events, volunteering for the local humane society, and sitting on boards for varied community organizations. As these duties lie outside of work hours and are performed within the employees’ own time, such activities are not tracked but are an important component of </w:t>
      </w:r>
      <w:r>
        <w:t>GBO</w:t>
      </w:r>
      <w:r w:rsidRPr="004B23E5">
        <w:t>’s impact in the local community.</w:t>
      </w:r>
    </w:p>
    <w:p w14:paraId="230E8DF5" w14:textId="77777777" w:rsidR="009814F2" w:rsidRPr="003D57A7" w:rsidRDefault="009814F2" w:rsidP="009814F2">
      <w:pPr>
        <w:pStyle w:val="ListParagraph"/>
        <w:numPr>
          <w:ilvl w:val="0"/>
          <w:numId w:val="11"/>
        </w:numPr>
      </w:pPr>
      <w:r w:rsidRPr="003D57A7">
        <w:t>Pocahontas County Chamber of Commerce</w:t>
      </w:r>
    </w:p>
    <w:p w14:paraId="0068BEFC" w14:textId="77777777" w:rsidR="009814F2" w:rsidRPr="003D57A7" w:rsidRDefault="009814F2" w:rsidP="009814F2">
      <w:pPr>
        <w:pStyle w:val="ListParagraph"/>
        <w:numPr>
          <w:ilvl w:val="0"/>
          <w:numId w:val="11"/>
        </w:numPr>
      </w:pPr>
      <w:r w:rsidRPr="003D57A7">
        <w:t>Local Fire Departments and Emergency Services</w:t>
      </w:r>
    </w:p>
    <w:p w14:paraId="4D7367E4" w14:textId="77777777" w:rsidR="009814F2" w:rsidRPr="003D57A7" w:rsidRDefault="009814F2" w:rsidP="009814F2">
      <w:pPr>
        <w:pStyle w:val="ListParagraph"/>
        <w:numPr>
          <w:ilvl w:val="0"/>
          <w:numId w:val="11"/>
        </w:numPr>
      </w:pPr>
      <w:r>
        <w:t xml:space="preserve">Mentoring county elementary and </w:t>
      </w:r>
      <w:r w:rsidRPr="003D57A7">
        <w:t>middle school</w:t>
      </w:r>
      <w:r>
        <w:t xml:space="preserve"> r</w:t>
      </w:r>
      <w:r w:rsidRPr="003D57A7">
        <w:t>obotics team</w:t>
      </w:r>
      <w:r>
        <w:t>s</w:t>
      </w:r>
    </w:p>
    <w:p w14:paraId="5F658552" w14:textId="77777777" w:rsidR="009814F2" w:rsidRPr="003D57A7" w:rsidRDefault="009814F2" w:rsidP="009814F2">
      <w:pPr>
        <w:pStyle w:val="ListParagraph"/>
        <w:numPr>
          <w:ilvl w:val="0"/>
          <w:numId w:val="11"/>
        </w:numPr>
      </w:pPr>
      <w:r w:rsidRPr="003D57A7">
        <w:t>Pocahontas County Convention and Visitors Bureau</w:t>
      </w:r>
    </w:p>
    <w:p w14:paraId="54B88DCE" w14:textId="77777777" w:rsidR="009814F2" w:rsidRPr="003D57A7" w:rsidRDefault="009814F2" w:rsidP="009814F2">
      <w:pPr>
        <w:pStyle w:val="ListParagraph"/>
        <w:numPr>
          <w:ilvl w:val="0"/>
          <w:numId w:val="11"/>
        </w:numPr>
      </w:pPr>
      <w:r w:rsidRPr="003D57A7">
        <w:t>Northern Pocahontas Community Wellness</w:t>
      </w:r>
    </w:p>
    <w:p w14:paraId="4724EAB5" w14:textId="77777777" w:rsidR="009814F2" w:rsidRDefault="009814F2" w:rsidP="009814F2">
      <w:pPr>
        <w:pStyle w:val="ListParagraph"/>
        <w:numPr>
          <w:ilvl w:val="0"/>
          <w:numId w:val="11"/>
        </w:numPr>
      </w:pPr>
      <w:r w:rsidRPr="003D57A7">
        <w:t>Allegheny Mountain Public Radio</w:t>
      </w:r>
    </w:p>
    <w:p w14:paraId="6E4CF78B" w14:textId="77777777" w:rsidR="009814F2" w:rsidRDefault="009814F2" w:rsidP="009814F2">
      <w:pPr>
        <w:pStyle w:val="ListParagraph"/>
        <w:numPr>
          <w:ilvl w:val="0"/>
          <w:numId w:val="11"/>
        </w:numPr>
      </w:pPr>
      <w:r>
        <w:t>Northern Pocahontas Community Wellness</w:t>
      </w:r>
    </w:p>
    <w:p w14:paraId="19C18EE0" w14:textId="77777777" w:rsidR="009814F2" w:rsidRDefault="009814F2" w:rsidP="009814F2">
      <w:pPr>
        <w:pStyle w:val="ListParagraph"/>
        <w:numPr>
          <w:ilvl w:val="0"/>
          <w:numId w:val="11"/>
        </w:numPr>
      </w:pPr>
      <w:r>
        <w:t>West Virginia Space Grant</w:t>
      </w:r>
    </w:p>
    <w:p w14:paraId="3192F91F" w14:textId="77777777" w:rsidR="009814F2" w:rsidRPr="00EA444B" w:rsidRDefault="009814F2" w:rsidP="009814F2">
      <w:pPr>
        <w:spacing w:after="320" w:line="257" w:lineRule="auto"/>
      </w:pPr>
      <w:r>
        <w:t>GBO</w:t>
      </w:r>
      <w:r w:rsidRPr="004B23E5">
        <w:t xml:space="preserve"> also offers facilities free of charge for appropriate uses by community groups or organizations. As a result, </w:t>
      </w:r>
      <w:r>
        <w:t>GBO</w:t>
      </w:r>
      <w:r w:rsidRPr="004B23E5">
        <w:t xml:space="preserve"> typically hosts many school and community activities, including annual Emergency Medical Technician (EMT) training classes</w:t>
      </w:r>
      <w:r w:rsidRPr="00EA444B">
        <w:t>.</w:t>
      </w:r>
      <w:r>
        <w:t xml:space="preserve">  These activities will resume as safety protocol from the COVID-19 pandemic allows.</w:t>
      </w:r>
    </w:p>
    <w:p w14:paraId="6E6BFA9E" w14:textId="77777777" w:rsidR="009814F2" w:rsidRPr="00EA444B" w:rsidRDefault="009814F2" w:rsidP="009814F2">
      <w:pPr>
        <w:pStyle w:val="Heading2"/>
      </w:pPr>
      <w:bookmarkStart w:id="738" w:name="_Toc83886129"/>
      <w:r w:rsidRPr="00EA444B">
        <w:t>Diversity and Inclusion Programs</w:t>
      </w:r>
      <w:bookmarkEnd w:id="738"/>
    </w:p>
    <w:p w14:paraId="3F7A6FDE" w14:textId="77777777" w:rsidR="009814F2" w:rsidRPr="00FF410A" w:rsidRDefault="009814F2" w:rsidP="009814F2">
      <w:r>
        <w:t>GBO</w:t>
      </w:r>
      <w:r w:rsidRPr="00FF410A">
        <w:t xml:space="preserve"> places diversity and inclusion at the top of its priorities in developing all new programs and events, and “Broadening Participation in STEM” is the major focus of several of the programs. Specifically, WVSPOT and the WV Governor’s STEM Institute (GSI) target West Virginia youth, who, as largely rural students, have fewer opportunities to experience authentic STEM than students elsewhere (Avery 2013). PING is a national program that recruits underserved minority students and girls, and the First2 Network is an NSF INCLUDES Alliance aimed at improving the success of first-generation students, initially in West Virginia, then expanding to other </w:t>
      </w:r>
      <w:proofErr w:type="spellStart"/>
      <w:r w:rsidRPr="00FF410A">
        <w:t>EPSCoR</w:t>
      </w:r>
      <w:proofErr w:type="spellEnd"/>
      <w:r w:rsidRPr="00FF410A">
        <w:t xml:space="preserve"> states. Two other national programs: Pulsar Search Collaboratory (PSC), and Skynet Junior Scholars, are leveraged to scaffold additional opportunities for these students who exhibit an affinity for astronomy. </w:t>
      </w:r>
    </w:p>
    <w:p w14:paraId="572263D9" w14:textId="77777777" w:rsidR="009814F2" w:rsidRPr="00EC7001" w:rsidRDefault="009814F2" w:rsidP="009814F2">
      <w:r w:rsidRPr="00A12CFD">
        <w:t xml:space="preserve">To maintain the broad portfolio of educational programs and STEM initiatives, </w:t>
      </w:r>
      <w:r>
        <w:t>GBO</w:t>
      </w:r>
      <w:r w:rsidRPr="00A12CFD">
        <w:t xml:space="preserve"> has leveraged a funding model that combines NSF cooperative agreement and external grants and awards to assist in paying for the student and participant support costs. </w:t>
      </w:r>
      <w:bookmarkStart w:id="739" w:name="_Toc631193"/>
      <w:bookmarkStart w:id="740" w:name="_Toc636992"/>
      <w:bookmarkStart w:id="741" w:name="_Toc637353"/>
      <w:bookmarkStart w:id="742" w:name="_Toc637715"/>
      <w:bookmarkStart w:id="743" w:name="_Toc637915"/>
      <w:bookmarkStart w:id="744" w:name="_Toc638111"/>
      <w:bookmarkStart w:id="745" w:name="_Toc638674"/>
      <w:bookmarkStart w:id="746" w:name="_Toc639032"/>
      <w:bookmarkStart w:id="747" w:name="_Toc639227"/>
      <w:bookmarkStart w:id="748" w:name="_Toc639411"/>
      <w:bookmarkStart w:id="749" w:name="_Toc788059"/>
      <w:bookmarkStart w:id="750" w:name="_Toc536160882"/>
      <w:bookmarkStart w:id="751" w:name="_Toc535936190"/>
      <w:bookmarkEnd w:id="739"/>
      <w:bookmarkEnd w:id="740"/>
      <w:bookmarkEnd w:id="741"/>
      <w:bookmarkEnd w:id="742"/>
      <w:bookmarkEnd w:id="743"/>
      <w:bookmarkEnd w:id="744"/>
      <w:bookmarkEnd w:id="745"/>
      <w:bookmarkEnd w:id="746"/>
      <w:bookmarkEnd w:id="747"/>
      <w:bookmarkEnd w:id="748"/>
      <w:bookmarkEnd w:id="749"/>
      <w:r>
        <w:br w:type="page"/>
      </w:r>
    </w:p>
    <w:bookmarkEnd w:id="750"/>
    <w:bookmarkEnd w:id="751"/>
    <w:p w14:paraId="4E86FC7F" w14:textId="524C6430" w:rsidR="00CE3AA5" w:rsidRDefault="00384F5F" w:rsidP="00BE3952">
      <w:pPr>
        <w:pStyle w:val="Heading1"/>
      </w:pPr>
      <w:r>
        <w:lastRenderedPageBreak/>
        <w:t xml:space="preserve">LOOKING AHEAD:  NEW INSTRUMENTS </w:t>
      </w:r>
      <w:r w:rsidR="009C3F42">
        <w:t>and Capabilities</w:t>
      </w:r>
      <w:bookmarkEnd w:id="689"/>
    </w:p>
    <w:p w14:paraId="24812D0C" w14:textId="27536621" w:rsidR="00492939" w:rsidRPr="00EA444B" w:rsidRDefault="00021146" w:rsidP="00492939">
      <w:r>
        <w:t>GBO</w:t>
      </w:r>
      <w:r w:rsidR="00492939" w:rsidRPr="00EA444B">
        <w:t xml:space="preserve"> has a suite of ground-breaking new development projects underway to enhance the GBT in support of its science goals for the next decade. </w:t>
      </w:r>
      <w:r w:rsidR="00492939">
        <w:t>Each of these projects is supported by the various site divisions, and milestones for these projects are given in the milestone table (</w:t>
      </w:r>
      <w:r w:rsidRPr="00021146">
        <w:t>Appendix C</w:t>
      </w:r>
      <w:r w:rsidR="00492939" w:rsidRPr="00021146">
        <w:t>)</w:t>
      </w:r>
      <w:r w:rsidRPr="00021146">
        <w:t>.</w:t>
      </w:r>
    </w:p>
    <w:p w14:paraId="64129FE0" w14:textId="77777777" w:rsidR="001C0921" w:rsidRPr="00A65406" w:rsidRDefault="001C0921" w:rsidP="00BE3952">
      <w:pPr>
        <w:pStyle w:val="Heading2"/>
      </w:pPr>
      <w:bookmarkStart w:id="752" w:name="_Toc83886159"/>
      <w:r w:rsidRPr="00A65406">
        <w:t>Cyclic spectroscopy (CS)</w:t>
      </w:r>
      <w:bookmarkEnd w:id="752"/>
    </w:p>
    <w:p w14:paraId="1A174207" w14:textId="223F966B" w:rsidR="00F33BF8" w:rsidRPr="004F4320" w:rsidRDefault="00492939" w:rsidP="00F33BF8">
      <w:pPr>
        <w:rPr>
          <w:spacing w:val="-4"/>
        </w:rPr>
      </w:pPr>
      <w:r w:rsidRPr="004F4320">
        <w:rPr>
          <w:spacing w:val="-4"/>
        </w:rPr>
        <w:t xml:space="preserve">Cyclic spectroscopy (CS) is a powerful data processing technique for pulsar astronomy that can provide higher time and frequency resolution that traditional spectroscopic methods. To our knowledge, there is no facility-supported real-time CS backend system at any radio observatory in the world. As part of GBO’s project titled “Windows on the Universe – Multi-messenger Astrophysics: Improving Gravitational Wave Sensitivity through Real-Time Cyclic Spectroscopy” (NSF award </w:t>
      </w:r>
      <w:r w:rsidR="00021146" w:rsidRPr="004F4320">
        <w:rPr>
          <w:spacing w:val="-4"/>
        </w:rPr>
        <w:t>AST-</w:t>
      </w:r>
      <w:r w:rsidRPr="004F4320">
        <w:rPr>
          <w:spacing w:val="-4"/>
        </w:rPr>
        <w:t>1928936, amendment #009), GBO will build the first such real-time system and commission it as an expert-user instrument. The primary science motivation is to advance multi-messenger astrophysics by improving sensitivity to nanohertz-frequency gravitational waves, which are likely to be detected in the next few years through high-precision timing of radio pulsars. The benefit of CS lies in the potential to measure and mitigate interstellar medium-induced noise in high precision pulsar timing and increase the number of pulsars that are suitable for use in gravitational wave detection. The GBT is one of the world’s premier telescopes for pulsar astronomy, and is a crucial component of the North American Nanohertz Observatory for Gravitational Waves Physics Frontiers Center</w:t>
      </w:r>
      <w:r w:rsidR="004F4320" w:rsidRPr="004F4320">
        <w:rPr>
          <w:spacing w:val="-4"/>
        </w:rPr>
        <w:t xml:space="preserve"> (NANOGrav)</w:t>
      </w:r>
      <w:r w:rsidRPr="004F4320">
        <w:rPr>
          <w:spacing w:val="-4"/>
        </w:rPr>
        <w:t xml:space="preserve">. </w:t>
      </w:r>
    </w:p>
    <w:p w14:paraId="5BA0F7E8" w14:textId="78DAF177" w:rsidR="00492939" w:rsidRPr="00A65406" w:rsidRDefault="00F33BF8">
      <w:r>
        <w:t>O</w:t>
      </w:r>
      <w:r w:rsidR="001C0921" w:rsidRPr="00A65406">
        <w:t>ver FY2021–2023</w:t>
      </w:r>
      <w:r w:rsidR="00021146">
        <w:t xml:space="preserve">, GBO staff </w:t>
      </w:r>
      <w:r>
        <w:t>will develop a prototype of the</w:t>
      </w:r>
      <w:r w:rsidR="001C0921" w:rsidRPr="00A65406">
        <w:t xml:space="preserve"> first such real-time system as a</w:t>
      </w:r>
      <w:r w:rsidR="00021146">
        <w:t xml:space="preserve"> test</w:t>
      </w:r>
      <w:r w:rsidR="001C0921" w:rsidRPr="00A65406">
        <w:t xml:space="preserve"> instrument. During FY2022, the GBO PMD department will assist the PI in the planning phases for this project, including supporting the initial procurement for a sub-set of the full hardware, which will be used for early development and testing efforts.</w:t>
      </w:r>
      <w:r w:rsidR="00492939" w:rsidRPr="00A65406">
        <w:t xml:space="preserve"> During FY2022, SDD will provide inputs into the science and stakeholder requirements and the selection of initial hardware. SDD will also design the software architecture and commence early implementation efforts. </w:t>
      </w:r>
    </w:p>
    <w:p w14:paraId="180DD5C3" w14:textId="77777777" w:rsidR="00CE3AA5" w:rsidRPr="00EA444B" w:rsidRDefault="00CE3AA5" w:rsidP="00BE3952">
      <w:pPr>
        <w:pStyle w:val="Heading2"/>
      </w:pPr>
      <w:bookmarkStart w:id="753" w:name="_Toc535936187"/>
      <w:bookmarkStart w:id="754" w:name="_Toc83886160"/>
      <w:bookmarkEnd w:id="753"/>
      <w:r w:rsidRPr="00EA444B">
        <w:t>Laser Antenna Surface Scanning Instrument (LASSI)</w:t>
      </w:r>
      <w:bookmarkEnd w:id="754"/>
    </w:p>
    <w:p w14:paraId="65CE5328" w14:textId="5ED02825" w:rsidR="00CE3AA5" w:rsidRPr="004F4320" w:rsidRDefault="00CE3AA5">
      <w:pPr>
        <w:rPr>
          <w:spacing w:val="-4"/>
        </w:rPr>
      </w:pPr>
      <w:r w:rsidRPr="004F4320">
        <w:rPr>
          <w:spacing w:val="-4"/>
        </w:rPr>
        <w:t xml:space="preserve">In FY2018, </w:t>
      </w:r>
      <w:r w:rsidR="00021146" w:rsidRPr="004F4320">
        <w:rPr>
          <w:spacing w:val="-4"/>
        </w:rPr>
        <w:t>GBO</w:t>
      </w:r>
      <w:r w:rsidRPr="004F4320">
        <w:rPr>
          <w:spacing w:val="-4"/>
        </w:rPr>
        <w:t xml:space="preserve"> received NSF-Mid-Scale Innovations Program in Astronomical Sciences (MSIP) funding to implement a laser metrology system for measuring the surface of the GBT precisely and quickly. All 2,008 panels of the primary surface of the GBT can be adjusted in real time to maintain its parabolic shape. At present, the surface is measured using “out-of-focus” holography, which takes approximately 30 minutes but remains valid for many hours at night. During the day, however, thermal gradients in the antenna backup structure can vary on timescales approaching one hour, requiring calibration measurements at least this often. This is extremely inefficient, and as a result, observations at 3mm are rarely made during the day. Recent advances in commercial technology have made it possible to use a laser scanner mounted on the GBT that produces a hundred million angle and range measurements of the surface every few minutes. Any given measurement has a range uncertainty ~2mm, but the data can be averaged to reduce the errors to tens of microns on the relevant angular scales. Measured surface distortions are then corrected using the active surface. </w:t>
      </w:r>
    </w:p>
    <w:p w14:paraId="61BFCBB9" w14:textId="223CD12E" w:rsidR="00470877" w:rsidRDefault="00CE3AA5">
      <w:r w:rsidRPr="00011C72">
        <w:t xml:space="preserve">LASSI was mounted on the GBT in September 2020, and </w:t>
      </w:r>
      <w:r>
        <w:t xml:space="preserve">commissioned in </w:t>
      </w:r>
      <w:r w:rsidRPr="00011C72">
        <w:t xml:space="preserve">FY2021. The initial phase of LASSI development, funded by the MSIP award, </w:t>
      </w:r>
      <w:r>
        <w:t xml:space="preserve">concluded successfully in early </w:t>
      </w:r>
      <w:r w:rsidRPr="00011C72">
        <w:t>summer</w:t>
      </w:r>
      <w:r>
        <w:t xml:space="preserve"> of</w:t>
      </w:r>
      <w:r w:rsidRPr="00011C72">
        <w:t xml:space="preserve"> FY2021 and provide</w:t>
      </w:r>
      <w:r>
        <w:t>s</w:t>
      </w:r>
      <w:r w:rsidRPr="00011C72">
        <w:t xml:space="preserve"> an initial baseline sys</w:t>
      </w:r>
      <w:r w:rsidRPr="0071760F">
        <w:t>tem</w:t>
      </w:r>
      <w:r w:rsidRPr="004F0CA0">
        <w:t xml:space="preserve">. Continued operational enhancements are planned and will include the integration of LASSI into DSS scheduling. These continued refinements will enable measurement of the GBT surface to take place in near real time to allow operation at the highest </w:t>
      </w:r>
      <w:proofErr w:type="gramStart"/>
      <w:r w:rsidRPr="004F0CA0">
        <w:t>frequencies</w:t>
      </w:r>
      <w:proofErr w:type="gramEnd"/>
      <w:r w:rsidRPr="004F0CA0">
        <w:t xml:space="preserve"> night or day, </w:t>
      </w:r>
      <w:r w:rsidRPr="004F0CA0">
        <w:lastRenderedPageBreak/>
        <w:t>significantly increasing the available telescope time for observing for all projects that operate above 25 GHz. This project takes advantage of the GBT active surface and large collecting area, which makes it the largest telescope in the world operating at mm wavelengths.</w:t>
      </w:r>
    </w:p>
    <w:p w14:paraId="71C751F1" w14:textId="77777777" w:rsidR="00CE3AA5" w:rsidRDefault="00CE3AA5" w:rsidP="00BE3952">
      <w:pPr>
        <w:pStyle w:val="Heading2"/>
      </w:pPr>
      <w:bookmarkStart w:id="755" w:name="_Toc337101"/>
      <w:bookmarkStart w:id="756" w:name="_Toc83886161"/>
      <w:r w:rsidRPr="00EA444B">
        <w:t>Ultra-Wideband Receiver (UWBR)</w:t>
      </w:r>
      <w:bookmarkEnd w:id="755"/>
      <w:bookmarkEnd w:id="756"/>
    </w:p>
    <w:p w14:paraId="069F7600" w14:textId="3FC95019" w:rsidR="00CE3AA5" w:rsidRDefault="00CE3AA5">
      <w:r w:rsidRPr="00011C72">
        <w:t xml:space="preserve">In 2018, the Gordon and Betty Moore Foundation (GBMF) partially funded a project at </w:t>
      </w:r>
      <w:r w:rsidR="00D93FA7">
        <w:t>GBO</w:t>
      </w:r>
      <w:r w:rsidRPr="00011C72">
        <w:t xml:space="preserve"> to build an Ultra-Wideband Receiver that will instantaneously cover ~0.7–4 GHz. The primary science driver is the detection of nanohertz-frequency gravitational waves via pulsar timing. Radio pulses from pulsars are dispersed by their passage through ionized gas in the interstellar medium. Measurement of pulses at widely spaced frequencies is necessary to characterize and remove dispersive effects. This currently requires use of two separate GBT receivers, often on different days. The new receiver will allow these measurements to be made simultaneously with a single instrument, improving the signal-to-noise for pulsar observations, and improving observing efficiency for high-precision pulsar timing programs. The receiver will also enable wideband spectroscopic studies of fast radio bursts and other transients, as well as regions rich in molecular lines at these frequencies.</w:t>
      </w:r>
    </w:p>
    <w:p w14:paraId="520D563B" w14:textId="7F98711A" w:rsidR="00BC6DDC" w:rsidRPr="004F4320" w:rsidRDefault="00BC6DDC">
      <w:pPr>
        <w:rPr>
          <w:spacing w:val="-4"/>
        </w:rPr>
      </w:pPr>
      <w:r w:rsidRPr="004F4320">
        <w:rPr>
          <w:spacing w:val="-4"/>
        </w:rPr>
        <w:t xml:space="preserve">Milestones associated with the receiver assembly and lab testing are covered by the Moore Foundation funding. GBO is funding work associated with the instrument commissioning, which is planned for Q4 FY2022. </w:t>
      </w:r>
    </w:p>
    <w:p w14:paraId="5BA9FFAC" w14:textId="389661C6" w:rsidR="00492939" w:rsidRDefault="00492939" w:rsidP="00492939">
      <w:r w:rsidRPr="00A65406">
        <w:t>Due to project delays, which included delays to feedhorn fabrication due to the quarantine restrictions in response to COVID-19, a project extension was granted through FY2022. It is anticipated that the construction and testing phase of the project will conclude by Q3 FY2022, and astronomical commissioning will commence in summer 2022.</w:t>
      </w:r>
      <w:r w:rsidR="00F33BF8">
        <w:t xml:space="preserve"> </w:t>
      </w:r>
      <w:r w:rsidR="00F33BF8" w:rsidRPr="000E21B8">
        <w:t>GBO anticipates that the UWBR will be an important new instrument for pulsar observing to be available during FY2023.</w:t>
      </w:r>
    </w:p>
    <w:p w14:paraId="622B6FE6" w14:textId="77777777" w:rsidR="00492939" w:rsidRDefault="00492939" w:rsidP="00BE3952">
      <w:pPr>
        <w:pStyle w:val="Heading2"/>
      </w:pPr>
      <w:bookmarkStart w:id="757" w:name="_Toc83886162"/>
      <w:r w:rsidRPr="003E54C2">
        <w:t>Wide-band Digital Technology and Interference Excision</w:t>
      </w:r>
      <w:bookmarkEnd w:id="757"/>
    </w:p>
    <w:p w14:paraId="398D85B3" w14:textId="464BB2BB" w:rsidR="00492939" w:rsidRDefault="00492939" w:rsidP="00492939">
      <w:r w:rsidRPr="003E54C2">
        <w:t xml:space="preserve">The next generation of very fast ADCs and powerful FPGAs are opening new possibilities for direct sampling of ultra-wide bandwidths directly at radio frequencies, and also provide the resources needed to realize real-time RFI excision. This is important for building systems that are robust against the effects of RFI. However, a complete Ultra-Wide Bandwidth (UWB) digital signal processing (SP) system that takes advantage of these advances is not yet available, and significant research and development is needed to realize this potential. In FY2019, </w:t>
      </w:r>
      <w:r w:rsidR="00BE3E88">
        <w:t>GBO</w:t>
      </w:r>
      <w:r w:rsidRPr="003E54C2">
        <w:t xml:space="preserve"> received an NSF Advanced Technologies Instrumentation (ATI) award for research and development into new </w:t>
      </w:r>
      <w:r w:rsidR="00BE3E88">
        <w:t xml:space="preserve">RFI and DSP </w:t>
      </w:r>
      <w:r w:rsidRPr="003E54C2">
        <w:t>technologies that includes:</w:t>
      </w:r>
    </w:p>
    <w:p w14:paraId="054EEDFC" w14:textId="07A5D391" w:rsidR="00492939" w:rsidRPr="00FD1D15" w:rsidRDefault="00FD1D15" w:rsidP="00492939">
      <w:pPr>
        <w:pStyle w:val="ListParagraph"/>
        <w:numPr>
          <w:ilvl w:val="0"/>
          <w:numId w:val="33"/>
        </w:numPr>
      </w:pPr>
      <w:r w:rsidRPr="00FD1D15">
        <w:t>Exploration</w:t>
      </w:r>
      <w:r>
        <w:t xml:space="preserve"> </w:t>
      </w:r>
      <w:r w:rsidRPr="00FD1D15">
        <w:t xml:space="preserve">into new </w:t>
      </w:r>
      <w:r>
        <w:t xml:space="preserve">DSP </w:t>
      </w:r>
      <w:r w:rsidRPr="00FD1D15">
        <w:t>technologies</w:t>
      </w:r>
      <w:r w:rsidR="00492939" w:rsidRPr="00FD1D15">
        <w:t xml:space="preserve"> for radio astronomy applications.</w:t>
      </w:r>
    </w:p>
    <w:p w14:paraId="400C9ABD" w14:textId="77777777" w:rsidR="00492939" w:rsidRPr="003E54C2" w:rsidRDefault="00492939" w:rsidP="00492939">
      <w:pPr>
        <w:pStyle w:val="ListParagraph"/>
        <w:numPr>
          <w:ilvl w:val="0"/>
          <w:numId w:val="33"/>
        </w:numPr>
      </w:pPr>
      <w:r w:rsidRPr="003E54C2">
        <w:t>Creation of standard, quantitative, and well-tested procedures for validating real-time RFI excision techniques and ensuring that they preserve scientific data quality.</w:t>
      </w:r>
    </w:p>
    <w:p w14:paraId="3E99155C" w14:textId="77777777" w:rsidR="00492939" w:rsidRPr="003E54C2" w:rsidRDefault="00492939" w:rsidP="00492939">
      <w:pPr>
        <w:pStyle w:val="ListParagraph"/>
        <w:numPr>
          <w:ilvl w:val="0"/>
          <w:numId w:val="33"/>
        </w:numPr>
      </w:pPr>
      <w:r w:rsidRPr="003E54C2">
        <w:t>Evaluation of new algorithms for identifying and removing RFI in real-time.</w:t>
      </w:r>
    </w:p>
    <w:p w14:paraId="0442F7E0" w14:textId="026E5E8A" w:rsidR="00492939" w:rsidRDefault="00492939">
      <w:r w:rsidRPr="003E54C2">
        <w:t>This research and development effort</w:t>
      </w:r>
      <w:r>
        <w:t xml:space="preserve"> </w:t>
      </w:r>
      <w:r w:rsidR="00FD1D15">
        <w:t>is</w:t>
      </w:r>
      <w:r w:rsidRPr="003E54C2">
        <w:t xml:space="preserve"> expected to complete in FY202</w:t>
      </w:r>
      <w:r>
        <w:t>3.</w:t>
      </w:r>
      <w:r w:rsidRPr="003E54C2">
        <w:t xml:space="preserve"> </w:t>
      </w:r>
      <w:r w:rsidR="00FD1D15">
        <w:t>At the conclusion of this research, GBO may</w:t>
      </w:r>
      <w:r w:rsidRPr="003E54C2">
        <w:t xml:space="preserve"> </w:t>
      </w:r>
      <w:r w:rsidR="00FD1D15">
        <w:t xml:space="preserve">seek funding </w:t>
      </w:r>
      <w:r w:rsidRPr="003E54C2">
        <w:t>to proceed to a</w:t>
      </w:r>
      <w:r w:rsidR="00FD1D15">
        <w:t xml:space="preserve"> more detailed design and </w:t>
      </w:r>
      <w:r w:rsidRPr="003E54C2">
        <w:t>implementation phase for revolutionary upgrades to the GBT that will expand its available bandwidth (BW) and enhance performance across all areas of radio astronomy science.</w:t>
      </w:r>
      <w:r w:rsidR="00597509">
        <w:t xml:space="preserve"> </w:t>
      </w:r>
      <w:r w:rsidR="00EE2DA9">
        <w:t>Milestones for this project are tracked as part of the ATI grant</w:t>
      </w:r>
      <w:r w:rsidR="00597509">
        <w:t>.</w:t>
      </w:r>
    </w:p>
    <w:p w14:paraId="5F2D94CB" w14:textId="77777777" w:rsidR="004F4320" w:rsidRDefault="004F4320"/>
    <w:p w14:paraId="253498EE" w14:textId="2D4C1FF1" w:rsidR="00CE3AA5" w:rsidRPr="00EA444B" w:rsidRDefault="00CE3AA5" w:rsidP="00BE3952">
      <w:pPr>
        <w:pStyle w:val="Heading2"/>
      </w:pPr>
      <w:bookmarkStart w:id="758" w:name="_Toc631187"/>
      <w:bookmarkStart w:id="759" w:name="_Toc636986"/>
      <w:bookmarkStart w:id="760" w:name="_Toc637347"/>
      <w:bookmarkStart w:id="761" w:name="_Toc637709"/>
      <w:bookmarkStart w:id="762" w:name="_Toc637909"/>
      <w:bookmarkStart w:id="763" w:name="_Toc638105"/>
      <w:bookmarkStart w:id="764" w:name="_Toc638668"/>
      <w:bookmarkStart w:id="765" w:name="_Toc639026"/>
      <w:bookmarkStart w:id="766" w:name="_Toc639221"/>
      <w:bookmarkStart w:id="767" w:name="_Toc631188"/>
      <w:bookmarkStart w:id="768" w:name="_Toc636987"/>
      <w:bookmarkStart w:id="769" w:name="_Toc637348"/>
      <w:bookmarkStart w:id="770" w:name="_Toc637710"/>
      <w:bookmarkStart w:id="771" w:name="_Toc637910"/>
      <w:bookmarkStart w:id="772" w:name="_Toc638106"/>
      <w:bookmarkStart w:id="773" w:name="_Toc638669"/>
      <w:bookmarkStart w:id="774" w:name="_Toc639027"/>
      <w:bookmarkStart w:id="775" w:name="_Toc639222"/>
      <w:bookmarkStart w:id="776" w:name="_Toc631189"/>
      <w:bookmarkStart w:id="777" w:name="_Toc636988"/>
      <w:bookmarkStart w:id="778" w:name="_Toc637349"/>
      <w:bookmarkStart w:id="779" w:name="_Toc637711"/>
      <w:bookmarkStart w:id="780" w:name="_Toc637911"/>
      <w:bookmarkStart w:id="781" w:name="_Toc638107"/>
      <w:bookmarkStart w:id="782" w:name="_Toc638670"/>
      <w:bookmarkStart w:id="783" w:name="_Toc639028"/>
      <w:bookmarkStart w:id="784" w:name="_Toc639223"/>
      <w:bookmarkStart w:id="785" w:name="_Toc83886163"/>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EA444B">
        <w:lastRenderedPageBreak/>
        <w:t>Potential Future GBT Instrumentation</w:t>
      </w:r>
      <w:bookmarkEnd w:id="785"/>
      <w:r w:rsidRPr="00EA444B">
        <w:t xml:space="preserve"> </w:t>
      </w:r>
    </w:p>
    <w:p w14:paraId="65E47C31" w14:textId="54BCC088" w:rsidR="00EE2DA9" w:rsidRDefault="00EE2DA9" w:rsidP="00BE3952">
      <w:pPr>
        <w:pStyle w:val="Heading3"/>
      </w:pPr>
      <w:r>
        <w:t>Overview</w:t>
      </w:r>
    </w:p>
    <w:p w14:paraId="6DDBA73E" w14:textId="2D09A3FA" w:rsidR="00CE3AA5" w:rsidRDefault="00CE3AA5">
      <w:r w:rsidRPr="00040A1C">
        <w:t>The GBT was built to be flexible and continuously upgraded to meet the needs of the astronomica</w:t>
      </w:r>
      <w:r>
        <w:t>l community (e.g. opening the 3</w:t>
      </w:r>
      <w:r w:rsidRPr="00040A1C">
        <w:t>mm band over the past decade). A whitepaper submitted to the Astro2020 Decadal Survey (“Advanced Capabilities for the Green Bank Telescope</w:t>
      </w:r>
      <w:r>
        <w:t>,”</w:t>
      </w:r>
      <w:r w:rsidRPr="00040A1C">
        <w:t xml:space="preserve"> Lynch et al), presents several projects that would expand the GBT’s performance in four key areas of survey speed, point source sensitivity, radio frequency interference (RFI) protection, and accessibility and preservation of legacy data. These long</w:t>
      </w:r>
      <w:r w:rsidR="0093250A">
        <w:t>-</w:t>
      </w:r>
      <w:r w:rsidRPr="00040A1C">
        <w:t>term goals include:</w:t>
      </w:r>
    </w:p>
    <w:p w14:paraId="1EABEBFD" w14:textId="77777777" w:rsidR="00CE3AA5" w:rsidRPr="00040A1C" w:rsidRDefault="00CE3AA5">
      <w:pPr>
        <w:pStyle w:val="ListParagraph"/>
        <w:numPr>
          <w:ilvl w:val="0"/>
          <w:numId w:val="32"/>
        </w:numPr>
      </w:pPr>
      <w:r w:rsidRPr="00040A1C">
        <w:t>Expanding the instantaneous field of view (</w:t>
      </w:r>
      <w:proofErr w:type="spellStart"/>
      <w:r w:rsidRPr="00040A1C">
        <w:t>FoV</w:t>
      </w:r>
      <w:proofErr w:type="spellEnd"/>
      <w:r w:rsidRPr="00040A1C">
        <w:t>) of the GBT with advanced radio cameras.</w:t>
      </w:r>
    </w:p>
    <w:p w14:paraId="44890321" w14:textId="77777777" w:rsidR="00CE3AA5" w:rsidRPr="00040A1C" w:rsidRDefault="00CE3AA5">
      <w:pPr>
        <w:pStyle w:val="ListParagraph"/>
        <w:numPr>
          <w:ilvl w:val="0"/>
          <w:numId w:val="32"/>
        </w:numPr>
      </w:pPr>
      <w:r w:rsidRPr="00040A1C">
        <w:t>Increasing the instantaneous bandwidth of the GBT by developing ultra-wideband analog and digital instruments.</w:t>
      </w:r>
    </w:p>
    <w:p w14:paraId="5749E7FF" w14:textId="77777777" w:rsidR="00CE3AA5" w:rsidRPr="00040A1C" w:rsidRDefault="00CE3AA5">
      <w:pPr>
        <w:pStyle w:val="ListParagraph"/>
        <w:numPr>
          <w:ilvl w:val="0"/>
          <w:numId w:val="32"/>
        </w:numPr>
      </w:pPr>
      <w:r w:rsidRPr="00040A1C">
        <w:t>Preserving scientific data quality while sharing the radio spectrum with a growing number of private, commercial, and civil users through better identification and excision of RFI.</w:t>
      </w:r>
    </w:p>
    <w:p w14:paraId="495607C4" w14:textId="77777777" w:rsidR="00CE3AA5" w:rsidRPr="00040A1C" w:rsidRDefault="00CE3AA5">
      <w:pPr>
        <w:pStyle w:val="ListParagraph"/>
        <w:numPr>
          <w:ilvl w:val="0"/>
          <w:numId w:val="32"/>
        </w:numPr>
      </w:pPr>
      <w:r w:rsidRPr="00040A1C">
        <w:t>Ensuring long-lasting public access to GBT data through a multi-petabyte data archive and high-performance processing tools.</w:t>
      </w:r>
    </w:p>
    <w:p w14:paraId="0474B3C9" w14:textId="77777777" w:rsidR="00CE3AA5" w:rsidRPr="00040A1C" w:rsidRDefault="00CE3AA5">
      <w:pPr>
        <w:pStyle w:val="ListParagraph"/>
        <w:numPr>
          <w:ilvl w:val="0"/>
          <w:numId w:val="32"/>
        </w:numPr>
      </w:pPr>
      <w:r w:rsidRPr="00040A1C">
        <w:t>Providing increased funding for peer-reviewed use of the GBT for the U.S. astronomy community.</w:t>
      </w:r>
    </w:p>
    <w:p w14:paraId="2232D861" w14:textId="49644D09" w:rsidR="00EE2DA9" w:rsidRDefault="00CE3AA5">
      <w:r w:rsidRPr="00040A1C">
        <w:t xml:space="preserve">This section describes </w:t>
      </w:r>
      <w:r w:rsidR="00492939" w:rsidRPr="00040A1C">
        <w:t>several</w:t>
      </w:r>
      <w:r w:rsidRPr="00040A1C">
        <w:t xml:space="preserve"> future instrumentation plans for the advanced GBT. Funding for this work falls outside of GBO CSA funds, but these instruments are mentioned to provide a view into potential future capabilities for the GBT. Development of these instruments will only proceed as associated funding is obtained. I</w:t>
      </w:r>
      <w:r>
        <w:t xml:space="preserve">n most cases, proposals </w:t>
      </w:r>
      <w:r w:rsidRPr="00040A1C">
        <w:t xml:space="preserve">have </w:t>
      </w:r>
      <w:r>
        <w:t xml:space="preserve">already </w:t>
      </w:r>
      <w:r w:rsidRPr="00040A1C">
        <w:t>been developed for the instruments described, and, if funded, construction and commissioning of these instruments will last beyond FY2026. White papers for many of these instruments were submitted to the Astro2020 Decadal Survey and the results from the committee reviews will inform GBO’s priorities.</w:t>
      </w:r>
      <w:r>
        <w:t xml:space="preserve"> </w:t>
      </w:r>
      <w:r w:rsidR="00EE2DA9">
        <w:t xml:space="preserve">In FY2022, once the </w:t>
      </w:r>
      <w:r w:rsidR="00ED1714">
        <w:t>D</w:t>
      </w:r>
      <w:r w:rsidR="00EE2DA9">
        <w:t xml:space="preserve">ecadal </w:t>
      </w:r>
      <w:r w:rsidR="00ED1714">
        <w:t xml:space="preserve">Survey </w:t>
      </w:r>
      <w:r w:rsidR="00EE2DA9">
        <w:t xml:space="preserve">results are out, </w:t>
      </w:r>
      <w:r w:rsidR="00ED1714">
        <w:t>GBO</w:t>
      </w:r>
      <w:r w:rsidR="00EE2DA9">
        <w:t xml:space="preserve"> will be holding a number of virtual and face-to-face meetings with the community to define the future instrumentation path for the GBT. The example</w:t>
      </w:r>
      <w:r w:rsidR="00FD1D15">
        <w:t>s</w:t>
      </w:r>
      <w:r w:rsidR="00EE2DA9">
        <w:t xml:space="preserve"> below are two of the possibilities be</w:t>
      </w:r>
      <w:r w:rsidR="00FD1D15">
        <w:t>ing</w:t>
      </w:r>
      <w:r w:rsidR="00EE2DA9">
        <w:t xml:space="preserve"> pursued.</w:t>
      </w:r>
    </w:p>
    <w:p w14:paraId="4685B44E" w14:textId="77777777" w:rsidR="00FD1D15" w:rsidRPr="00FD1D15" w:rsidRDefault="00FD1D15" w:rsidP="00FD1D15">
      <w:pPr>
        <w:pStyle w:val="Heading4"/>
        <w:rPr>
          <w:b/>
          <w:i w:val="0"/>
        </w:rPr>
      </w:pPr>
      <w:r w:rsidRPr="00FD1D15">
        <w:rPr>
          <w:b/>
          <w:i w:val="0"/>
        </w:rPr>
        <w:t>Joint Radar Initiative</w:t>
      </w:r>
    </w:p>
    <w:p w14:paraId="240A9F15" w14:textId="27EC1EEC" w:rsidR="00FD1D15" w:rsidRDefault="00FD1D15" w:rsidP="00FD1D15">
      <w:pPr>
        <w:rPr>
          <w:b/>
        </w:rPr>
      </w:pPr>
      <w:r>
        <w:t xml:space="preserve">AUI, NRAO, GBO, </w:t>
      </w:r>
      <w:r w:rsidRPr="00035A83">
        <w:t xml:space="preserve">and Raytheon Technologies Inc. are collaborating to develop high-frequency radar transmission and reception capabilities with the NRAO/GBO instruments. This program includes activities to develop scientific and technical projects of common interest, an active exchange program of students, postdoctoral fellows, scientific and engineering staff between our available sites, joint scientific workshops and to form joint research groups on specific scientific or technical goals of common interest, and exploration of commercialization and Federal-commercial ventures arising from the collaboration. </w:t>
      </w:r>
      <w:r>
        <w:t>In FY2021</w:t>
      </w:r>
      <w:r w:rsidR="00ED1714">
        <w:t>,</w:t>
      </w:r>
      <w:r w:rsidRPr="00035A83">
        <w:t xml:space="preserve"> a low-power</w:t>
      </w:r>
      <w:r>
        <w:t>,</w:t>
      </w:r>
      <w:r w:rsidRPr="00035A83">
        <w:t xml:space="preserve"> low frequency transmitter </w:t>
      </w:r>
      <w:r>
        <w:t xml:space="preserve">was placed </w:t>
      </w:r>
      <w:r w:rsidRPr="00035A83">
        <w:t xml:space="preserve">on the </w:t>
      </w:r>
      <w:r>
        <w:t xml:space="preserve">GBT </w:t>
      </w:r>
      <w:r w:rsidRPr="00035A83">
        <w:t xml:space="preserve">and a series of detection experiments using the Very Long Baseline Array as a </w:t>
      </w:r>
      <w:proofErr w:type="spellStart"/>
      <w:r w:rsidRPr="00035A83">
        <w:t>multistatic</w:t>
      </w:r>
      <w:proofErr w:type="spellEnd"/>
      <w:r w:rsidRPr="00035A83">
        <w:t xml:space="preserve"> receiver</w:t>
      </w:r>
      <w:r>
        <w:t xml:space="preserve"> were successfully undertaken.  The next step is a detailed design study and plan for the development of a high-power radar system.  Funding for this system is being pursued</w:t>
      </w:r>
      <w:r w:rsidR="008757E1">
        <w:t>.</w:t>
      </w:r>
    </w:p>
    <w:p w14:paraId="68E7C630" w14:textId="2686FFA8" w:rsidR="00FD1D15" w:rsidRPr="008757E1" w:rsidRDefault="00CE3AA5" w:rsidP="008757E1">
      <w:pPr>
        <w:pStyle w:val="Heading4"/>
        <w:rPr>
          <w:b/>
          <w:i w:val="0"/>
        </w:rPr>
      </w:pPr>
      <w:r w:rsidRPr="004F0CA0">
        <w:rPr>
          <w:b/>
          <w:i w:val="0"/>
        </w:rPr>
        <w:lastRenderedPageBreak/>
        <w:t>Argus-144: 144-pix</w:t>
      </w:r>
      <w:r w:rsidRPr="008757E1">
        <w:rPr>
          <w:b/>
          <w:i w:val="0"/>
        </w:rPr>
        <w:t>el, 80-116 GHz Camera</w:t>
      </w:r>
    </w:p>
    <w:p w14:paraId="72FEABD0" w14:textId="4AEB0211" w:rsidR="00CE3AA5" w:rsidRDefault="00EE2DA9">
      <w:r>
        <w:t>Argus-144 is a proposed</w:t>
      </w:r>
      <w:r w:rsidR="00CE3AA5" w:rsidRPr="003E54C2">
        <w:t xml:space="preserve"> 144-element radio camera for spectrosco</w:t>
      </w:r>
      <w:r w:rsidR="00CE3AA5">
        <w:t>pic studies in the 3mm band (74</w:t>
      </w:r>
      <w:r w:rsidR="00CE3AA5" w:rsidRPr="003E54C2">
        <w:t xml:space="preserve">–116 GHz) to operate as an </w:t>
      </w:r>
      <w:r w:rsidR="00CE3AA5">
        <w:t>O</w:t>
      </w:r>
      <w:r w:rsidR="00CE3AA5" w:rsidRPr="003E54C2">
        <w:t xml:space="preserve">pen </w:t>
      </w:r>
      <w:r w:rsidR="00CE3AA5">
        <w:t>S</w:t>
      </w:r>
      <w:r w:rsidR="00CE3AA5" w:rsidRPr="003E54C2">
        <w:t>kies instrument on the GBT. Argus-144</w:t>
      </w:r>
      <w:r>
        <w:t xml:space="preserve"> would</w:t>
      </w:r>
      <w:r w:rsidR="00CE3AA5" w:rsidRPr="003E54C2">
        <w:t xml:space="preserve"> provide a ten-fold increase in mapping speed compared to the current 16-element Argus pilot version of the instrument. Combining the 6</w:t>
      </w:r>
      <w:r w:rsidR="00CE3AA5">
        <w:t>’</w:t>
      </w:r>
      <w:r w:rsidR="00CE3AA5" w:rsidRPr="003E54C2">
        <w:t xml:space="preserve"> x 6</w:t>
      </w:r>
      <w:r w:rsidR="00CE3AA5">
        <w:t>’</w:t>
      </w:r>
      <w:r w:rsidR="00CE3AA5" w:rsidRPr="003E54C2">
        <w:t xml:space="preserve"> field of view of Argus-144 with the 6.5” x to 10” beam of the 100m GBT will provide high spatial dynamic range maps of interstellar molecules that are critical in understanding the physical processes and astrochemistry associated with star formation, from the scale of entire galactic disks to the sub-parsec scale of interstellar filaments and dense molecular cores. The GBT with Argus-144 will be unequaled worldwide for wide-area 3mm spectroscopic mapping, and will be a critical complement to ALMA, which has high angular resolution but a small field of view.</w:t>
      </w:r>
    </w:p>
    <w:p w14:paraId="46F6B3B5" w14:textId="5FDDE6E8" w:rsidR="00314661" w:rsidRDefault="00314661" w:rsidP="00314661"/>
    <w:p w14:paraId="5567E53B" w14:textId="47D3E7B5" w:rsidR="007332E9" w:rsidRDefault="007332E9">
      <w:pPr>
        <w:spacing w:after="0" w:line="240" w:lineRule="auto"/>
        <w:jc w:val="left"/>
      </w:pPr>
      <w:r>
        <w:br w:type="page"/>
      </w:r>
    </w:p>
    <w:p w14:paraId="5934F083" w14:textId="1206D7D5" w:rsidR="00985B8B" w:rsidRPr="00EA444B" w:rsidRDefault="003724C5" w:rsidP="00BE3952">
      <w:pPr>
        <w:pStyle w:val="Heading1"/>
        <w:rPr>
          <w:rStyle w:val="ListLabel1"/>
          <w:rFonts w:ascii="Gill Sans MT" w:hAnsi="Gill Sans MT"/>
          <w:caps w:val="0"/>
        </w:rPr>
      </w:pPr>
      <w:r>
        <w:rPr>
          <w:rStyle w:val="ListLabel1"/>
          <w:rFonts w:ascii="Gill Sans MT" w:hAnsi="Gill Sans MT"/>
        </w:rPr>
        <w:lastRenderedPageBreak/>
        <w:t xml:space="preserve"> </w:t>
      </w:r>
      <w:bookmarkStart w:id="786" w:name="_Toc83886164"/>
      <w:r w:rsidR="00985B8B" w:rsidRPr="00EA444B">
        <w:rPr>
          <w:rStyle w:val="ListLabel1"/>
          <w:rFonts w:ascii="Gill Sans MT" w:hAnsi="Gill Sans MT"/>
        </w:rPr>
        <w:t>SECURING THE FUTURE</w:t>
      </w:r>
      <w:bookmarkEnd w:id="786"/>
    </w:p>
    <w:p w14:paraId="65D75055" w14:textId="74408213" w:rsidR="001230CD" w:rsidRPr="00EA444B" w:rsidRDefault="001230CD" w:rsidP="00BE3952">
      <w:pPr>
        <w:pStyle w:val="Heading2"/>
      </w:pPr>
      <w:bookmarkStart w:id="787" w:name="_Toc83886165"/>
      <w:r w:rsidRPr="00EA444B">
        <w:t>Partnership Development</w:t>
      </w:r>
      <w:bookmarkEnd w:id="787"/>
    </w:p>
    <w:p w14:paraId="5A2B6F5E" w14:textId="4E9ECFE9" w:rsidR="00985B8B" w:rsidRPr="00EA444B" w:rsidRDefault="007332E9">
      <w:pPr>
        <w:pStyle w:val="PlainText"/>
      </w:pPr>
      <w:r>
        <w:t>GBO</w:t>
      </w:r>
      <w:r w:rsidR="00985B8B" w:rsidRPr="00EA444B">
        <w:t xml:space="preserve">’s establishment of substantial partners </w:t>
      </w:r>
      <w:r w:rsidR="0048249B">
        <w:t xml:space="preserve">is a requirement to </w:t>
      </w:r>
      <w:r w:rsidR="001230CD" w:rsidRPr="00EA444B">
        <w:t>complement NSF operational funding</w:t>
      </w:r>
      <w:r w:rsidR="00985B8B" w:rsidRPr="00EA444B">
        <w:t>.</w:t>
      </w:r>
      <w:r w:rsidR="001230CD" w:rsidRPr="00EA444B">
        <w:t xml:space="preserve"> </w:t>
      </w:r>
      <w:r>
        <w:t>GBO</w:t>
      </w:r>
      <w:r w:rsidR="001230CD" w:rsidRPr="00EA444B">
        <w:t xml:space="preserve"> currently has two major long-term partners that intend to continue in their current capacity. It is essential that these partners are provided the services they expect and that their voices are heard in the prioritization of </w:t>
      </w:r>
      <w:r>
        <w:t>GBO</w:t>
      </w:r>
      <w:r w:rsidRPr="00EA444B">
        <w:t xml:space="preserve"> </w:t>
      </w:r>
      <w:r w:rsidR="001230CD" w:rsidRPr="00EA444B">
        <w:t xml:space="preserve">developments. </w:t>
      </w:r>
    </w:p>
    <w:p w14:paraId="7A71CF79" w14:textId="77777777" w:rsidR="00985B8B" w:rsidRPr="00EA444B" w:rsidRDefault="00985B8B" w:rsidP="00BE3952">
      <w:pPr>
        <w:pStyle w:val="Heading3"/>
      </w:pPr>
      <w:r w:rsidRPr="00EA444B">
        <w:t>Existing Partnerships</w:t>
      </w:r>
    </w:p>
    <w:p w14:paraId="7B315754" w14:textId="46DDC23E" w:rsidR="00985B8B" w:rsidRPr="00EA444B" w:rsidRDefault="007332E9">
      <w:pPr>
        <w:rPr>
          <w:color w:val="0070C0"/>
        </w:rPr>
      </w:pPr>
      <w:r>
        <w:t>GBO</w:t>
      </w:r>
      <w:r w:rsidR="00985B8B" w:rsidRPr="00EA444B">
        <w:t xml:space="preserve"> offers partner organizations the opportunity to access guaranteed observing time on the GBT, or other services, in exchange for operations funding. For the GBT, hourly operations costs are determined annually according to AUI protocols and </w:t>
      </w:r>
      <w:r w:rsidRPr="00EA444B">
        <w:t>consider</w:t>
      </w:r>
      <w:r w:rsidR="00985B8B" w:rsidRPr="00EA444B">
        <w:t xml:space="preserve"> the purpose of the observing (scientific research use being heavily discounted) and the user type (federal, foreign, academic, educational, and commercial).</w:t>
      </w:r>
    </w:p>
    <w:p w14:paraId="5000ADF8" w14:textId="33CCB719" w:rsidR="00985B8B" w:rsidRPr="00EA444B" w:rsidRDefault="00985B8B">
      <w:r w:rsidRPr="00EA444B">
        <w:t xml:space="preserve">AUI and senior </w:t>
      </w:r>
      <w:r w:rsidR="007332E9">
        <w:t>GBO</w:t>
      </w:r>
      <w:r w:rsidR="007332E9" w:rsidRPr="00EA444B">
        <w:t xml:space="preserve"> </w:t>
      </w:r>
      <w:r w:rsidRPr="00EA444B">
        <w:t xml:space="preserve">management have secured multiple partners who will contribute to Green Bank operations. </w:t>
      </w:r>
      <w:r w:rsidR="007332E9">
        <w:t>GBO</w:t>
      </w:r>
      <w:r w:rsidR="007332E9" w:rsidRPr="00EA444B">
        <w:t xml:space="preserve"> </w:t>
      </w:r>
      <w:r w:rsidRPr="00EA444B">
        <w:t>and AUI establish formal agreements with these partners, primarily research organizations interested in special observing programs. The Green Bank Program Managers will serve as the primary point-of-contact for these agreements, and will ensure adequate performance and compliance with their terms.</w:t>
      </w:r>
    </w:p>
    <w:p w14:paraId="4CFD23C3" w14:textId="4904F4DD" w:rsidR="00985B8B" w:rsidRPr="00EA444B" w:rsidRDefault="00985B8B">
      <w:r w:rsidRPr="00EA444B">
        <w:t xml:space="preserve">The current major </w:t>
      </w:r>
      <w:r w:rsidR="007332E9">
        <w:t>GBO</w:t>
      </w:r>
      <w:r w:rsidR="007332E9" w:rsidRPr="00EA444B">
        <w:t xml:space="preserve"> </w:t>
      </w:r>
      <w:r w:rsidRPr="00EA444B">
        <w:t>partners and their roles are described in the following sections.</w:t>
      </w:r>
    </w:p>
    <w:p w14:paraId="1CF0AA73" w14:textId="65177F8A" w:rsidR="00985B8B" w:rsidRPr="00EA444B" w:rsidRDefault="00985B8B">
      <w:r w:rsidRPr="008162C2">
        <w:rPr>
          <w:b/>
        </w:rPr>
        <w:t>Breakthrough Listen</w:t>
      </w:r>
      <w:r w:rsidR="001230CD" w:rsidRPr="008162C2">
        <w:t>:</w:t>
      </w:r>
      <w:r w:rsidR="001230CD" w:rsidRPr="00EA444B">
        <w:t xml:space="preserve"> </w:t>
      </w:r>
      <w:r w:rsidRPr="00EA444B">
        <w:t xml:space="preserve">Currently, Breakthrough Listen pays for ~20% of the available GBT observing time. Breakthrough Listen is the largest scientific research program ever to seek evidence of civilizations beyond Earth. The scope of the search is unprecedented: a survey of the 1,000,000 closest stars throughout the entire plane of the Milky Way, including those toward and in the Galactic Center. Breakthrough Listen will survey beyond the Milky Way by listening for messages from the 100 closest galaxies and will ultimately cover more than ten times as much of the sky than any previous SETI program. Breakthrough Listen will also cover at least five times more of the radio spectrum, and do it 100x faster. The program’s sensitivity is sufficient to hear common aircraft radar transmitting toward Earth from any of the 1,000 nearest stars.  </w:t>
      </w:r>
    </w:p>
    <w:p w14:paraId="233E1868" w14:textId="43907745" w:rsidR="00985B8B" w:rsidRPr="00EA444B" w:rsidRDefault="00985B8B">
      <w:r w:rsidRPr="00EA444B">
        <w:t>The current Breakthrough Listen contract carries through CY202</w:t>
      </w:r>
      <w:r w:rsidR="00EE2DA9">
        <w:t>5</w:t>
      </w:r>
      <w:r w:rsidRPr="00EA444B">
        <w:t xml:space="preserve">. </w:t>
      </w:r>
    </w:p>
    <w:p w14:paraId="4A2668D5" w14:textId="29BC7B3F" w:rsidR="00985B8B" w:rsidRPr="00EA444B" w:rsidRDefault="00985B8B">
      <w:r w:rsidRPr="000271FD">
        <w:rPr>
          <w:rStyle w:val="st"/>
          <w:b/>
        </w:rPr>
        <w:t>North American Nanohertz Observatory for Gravitational Waves (</w:t>
      </w:r>
      <w:r w:rsidRPr="000271FD">
        <w:rPr>
          <w:b/>
        </w:rPr>
        <w:t>NANOGrav)</w:t>
      </w:r>
      <w:r w:rsidR="001230CD" w:rsidRPr="000271FD">
        <w:t>:</w:t>
      </w:r>
      <w:r w:rsidR="001230CD" w:rsidRPr="00EA444B">
        <w:t xml:space="preserve"> </w:t>
      </w:r>
      <w:r w:rsidRPr="00EA444B">
        <w:t xml:space="preserve">The NANOGrav consortium includes scientists from across the United States and Canada who are interested in studying the Universe using gravitational waves. NANOGrav uses the Galaxy itself to detect gravitational waves via a network of millisecond pulsars and a Pulsar Timing Array. NANOGrav scientists make use of some of the world's best telescopes and most advanced technology in physics, computer science, signal processing, and electrical engineering. The consortium’s short-term goal is the detection of gravitational waves at </w:t>
      </w:r>
      <w:proofErr w:type="spellStart"/>
      <w:r w:rsidRPr="00EA444B">
        <w:t>nanoHertz</w:t>
      </w:r>
      <w:proofErr w:type="spellEnd"/>
      <w:r w:rsidRPr="00EA444B">
        <w:t xml:space="preserve"> frequencies within the next decade. The NANOGrav team selects and prioritizes the targets and time for all NANOGrav observations at the GBT.</w:t>
      </w:r>
    </w:p>
    <w:p w14:paraId="1F2BAF54" w14:textId="141F5B65" w:rsidR="00314661" w:rsidRDefault="00985B8B">
      <w:r w:rsidRPr="00EA444B">
        <w:t>NANOGrav</w:t>
      </w:r>
      <w:r w:rsidR="00EE2DA9">
        <w:t xml:space="preserve"> has two separate </w:t>
      </w:r>
      <w:r w:rsidR="007332E9">
        <w:t>contracts</w:t>
      </w:r>
      <w:r w:rsidR="00EE2DA9">
        <w:t xml:space="preserve"> with </w:t>
      </w:r>
      <w:r w:rsidR="007332E9">
        <w:t>GBO</w:t>
      </w:r>
      <w:r w:rsidR="00EE2DA9">
        <w:t>. The first, funded through the Gord</w:t>
      </w:r>
      <w:r w:rsidR="007332E9">
        <w:t>o</w:t>
      </w:r>
      <w:r w:rsidR="00EE2DA9">
        <w:t xml:space="preserve">n and Betty Moore Foundation, is a </w:t>
      </w:r>
      <w:r w:rsidR="007332E9">
        <w:t>three-year</w:t>
      </w:r>
      <w:r w:rsidR="00EE2DA9">
        <w:t xml:space="preserve"> contract which lasts until July 31, 202</w:t>
      </w:r>
      <w:r w:rsidR="00314661">
        <w:t xml:space="preserve">4. The second, funded as part of </w:t>
      </w:r>
      <w:proofErr w:type="spellStart"/>
      <w:r w:rsidR="007332E9">
        <w:t>NANOGrav’s</w:t>
      </w:r>
      <w:proofErr w:type="spellEnd"/>
      <w:r w:rsidR="007332E9">
        <w:t xml:space="preserve"> </w:t>
      </w:r>
      <w:r w:rsidR="00314661">
        <w:t>NSF Physics Frontier Center, continues through July 31, 2026.</w:t>
      </w:r>
    </w:p>
    <w:p w14:paraId="379025A4" w14:textId="1201FBCC" w:rsidR="00985B8B" w:rsidRPr="00EA444B" w:rsidRDefault="00985B8B">
      <w:r w:rsidRPr="000271FD">
        <w:rPr>
          <w:b/>
        </w:rPr>
        <w:lastRenderedPageBreak/>
        <w:t>Other Partnerships</w:t>
      </w:r>
      <w:r w:rsidR="001230CD" w:rsidRPr="00EA444B">
        <w:rPr>
          <w:i/>
        </w:rPr>
        <w:t>:</w:t>
      </w:r>
      <w:r w:rsidR="001230CD" w:rsidRPr="00EA444B">
        <w:t xml:space="preserve"> </w:t>
      </w:r>
      <w:r w:rsidRPr="00EA444B">
        <w:t xml:space="preserve">In addition to major partnerships, </w:t>
      </w:r>
      <w:r w:rsidR="007332E9">
        <w:t>GBO</w:t>
      </w:r>
      <w:r w:rsidRPr="00EA444B">
        <w:t xml:space="preserve"> has and will continue a successful program to bring in smaller customers for telescope time, Observatory site hosting of instruments, and Work for Others. Currently </w:t>
      </w:r>
      <w:r w:rsidR="007332E9">
        <w:t>GBO</w:t>
      </w:r>
      <w:r w:rsidRPr="00EA444B">
        <w:t xml:space="preserve"> has multi-year contracts with</w:t>
      </w:r>
      <w:r w:rsidR="0048249B">
        <w:t xml:space="preserve"> </w:t>
      </w:r>
      <w:r w:rsidRPr="00EA444B">
        <w:t xml:space="preserve">MIT Lincoln Laboratory for GBT bistatic radar observations, New York University/Abu Dhabi for student GBT observing, and UCLA for student GBT observing. Historically </w:t>
      </w:r>
      <w:r w:rsidR="007332E9">
        <w:t>GBO</w:t>
      </w:r>
      <w:r w:rsidRPr="00EA444B">
        <w:t xml:space="preserve"> also has one or more reoccurring shorter contracts for GBT observations for NASA and JPL projects.</w:t>
      </w:r>
    </w:p>
    <w:p w14:paraId="296D828F" w14:textId="77777777" w:rsidR="00985B8B" w:rsidRPr="00EA444B" w:rsidRDefault="00985B8B" w:rsidP="00BE3952">
      <w:pPr>
        <w:pStyle w:val="Heading3"/>
      </w:pPr>
      <w:r w:rsidRPr="00EA444B">
        <w:t>Plan to Grow Partnerships</w:t>
      </w:r>
    </w:p>
    <w:p w14:paraId="693664A4" w14:textId="46F2FF02" w:rsidR="00985B8B" w:rsidRPr="00EA444B" w:rsidRDefault="00985B8B">
      <w:r w:rsidRPr="00EA444B">
        <w:t xml:space="preserve">In seeking additional partners, AUI prioritizes highly leveraged situations that provide the most return for least reduction in Open Skies time. This could be accomplished through agreements for elevated level of priority or enhanced level of service. </w:t>
      </w:r>
      <w:r w:rsidR="00F3702E" w:rsidRPr="00EA444B">
        <w:t xml:space="preserve">The business confidential nature of some early partnership discussions prevents elaboration at this time. </w:t>
      </w:r>
      <w:r w:rsidRPr="00EA444B">
        <w:t xml:space="preserve">Retaining 60% of time for Open Skies is desired, proportional to the level of NSF funding. </w:t>
      </w:r>
    </w:p>
    <w:p w14:paraId="6629AF01" w14:textId="47260596" w:rsidR="00985B8B" w:rsidRPr="00EA444B" w:rsidRDefault="00985B8B">
      <w:r w:rsidRPr="00EA444B">
        <w:t xml:space="preserve">AUI and </w:t>
      </w:r>
      <w:r w:rsidR="007332E9">
        <w:t>GBO</w:t>
      </w:r>
      <w:r w:rsidRPr="00EA444B">
        <w:t xml:space="preserve"> also will continue to actively explore funding options for expanding the use of the </w:t>
      </w:r>
      <w:r w:rsidR="007332E9">
        <w:t>GBO</w:t>
      </w:r>
      <w:r w:rsidR="007332E9" w:rsidRPr="00EA444B">
        <w:t xml:space="preserve"> </w:t>
      </w:r>
      <w:r w:rsidRPr="00EA444B">
        <w:t xml:space="preserve">campus, including housing and food service facilities, while also looking for opportunities to increase revenue from the facilities and to grow additional long-term telescope contracts. </w:t>
      </w:r>
    </w:p>
    <w:p w14:paraId="2C53CFED" w14:textId="5118886D" w:rsidR="00985B8B" w:rsidRDefault="00985B8B">
      <w:r w:rsidRPr="00EA444B">
        <w:t>Increased partnership may be achieved through the following mechanisms:</w:t>
      </w:r>
    </w:p>
    <w:p w14:paraId="265C901D" w14:textId="10306E62" w:rsidR="00985B8B" w:rsidRPr="00EA444B" w:rsidRDefault="00985B8B">
      <w:pPr>
        <w:pStyle w:val="ListParagraph"/>
        <w:numPr>
          <w:ilvl w:val="0"/>
          <w:numId w:val="1"/>
        </w:numPr>
      </w:pPr>
      <w:r w:rsidRPr="00EA444B">
        <w:t xml:space="preserve">Identifying a new long-term partner for funding operations in exchange for telescope access, site hosting, or </w:t>
      </w:r>
      <w:r w:rsidR="007332E9">
        <w:t>GBO</w:t>
      </w:r>
      <w:r w:rsidR="007332E9" w:rsidRPr="00EA444B">
        <w:t xml:space="preserve"> </w:t>
      </w:r>
      <w:r w:rsidRPr="00EA444B">
        <w:t>staff expertise.</w:t>
      </w:r>
    </w:p>
    <w:p w14:paraId="48117A48" w14:textId="77777777" w:rsidR="00985B8B" w:rsidRPr="00EA444B" w:rsidRDefault="00985B8B">
      <w:pPr>
        <w:pStyle w:val="ListParagraph"/>
        <w:numPr>
          <w:ilvl w:val="0"/>
          <w:numId w:val="1"/>
        </w:numPr>
      </w:pPr>
      <w:r w:rsidRPr="00EA444B">
        <w:t>Increasing the degree of partnership of an existing partner.</w:t>
      </w:r>
    </w:p>
    <w:p w14:paraId="618CFC83" w14:textId="77777777" w:rsidR="00985B8B" w:rsidRPr="00EA444B" w:rsidRDefault="00985B8B">
      <w:pPr>
        <w:pStyle w:val="ListParagraph"/>
        <w:numPr>
          <w:ilvl w:val="0"/>
          <w:numId w:val="1"/>
        </w:numPr>
      </w:pPr>
      <w:r w:rsidRPr="00EA444B">
        <w:t>Identifying one or more development projects desired and funded by a new or existing partner.</w:t>
      </w:r>
    </w:p>
    <w:p w14:paraId="32398339" w14:textId="1D7A53F0" w:rsidR="00985B8B" w:rsidRPr="00EA444B" w:rsidRDefault="00985B8B" w:rsidP="00ED1714">
      <w:pPr>
        <w:spacing w:after="320" w:line="257" w:lineRule="auto"/>
      </w:pPr>
      <w:r w:rsidRPr="00EA444B">
        <w:t xml:space="preserve">AUI emphasizes its commitment to developing new users and stakeholders for the </w:t>
      </w:r>
      <w:r w:rsidR="007332E9">
        <w:t>GBO</w:t>
      </w:r>
      <w:r w:rsidRPr="00EA444B">
        <w:t xml:space="preserve">, and it has the proven leadership organization to establish potentially transformative strategic alliances and new uses for the site. There is no more important responsibility for AUI leadership and the </w:t>
      </w:r>
      <w:r w:rsidR="007332E9">
        <w:t>GBO</w:t>
      </w:r>
      <w:r w:rsidR="007332E9" w:rsidRPr="00EA444B">
        <w:t xml:space="preserve"> </w:t>
      </w:r>
      <w:r w:rsidRPr="00EA444B">
        <w:t xml:space="preserve">Director than securing new strategic partnerships for </w:t>
      </w:r>
      <w:r w:rsidR="007332E9">
        <w:t>GBO</w:t>
      </w:r>
      <w:r w:rsidRPr="00EA444B">
        <w:t xml:space="preserve">. </w:t>
      </w:r>
      <w:r w:rsidR="007332E9">
        <w:t>GBO</w:t>
      </w:r>
      <w:r w:rsidRPr="00EA444B">
        <w:t xml:space="preserve"> provides an attractive array of assets suitable for collaboration with other federal government agencies, commercial organizations, space object tracking initiatives, telescope time sales, as well as potential external uses for its research and educational campus facility.</w:t>
      </w:r>
    </w:p>
    <w:p w14:paraId="7704F592" w14:textId="5B10CC63" w:rsidR="004D7908" w:rsidRPr="00EA444B" w:rsidRDefault="004D7908" w:rsidP="00BE3952">
      <w:pPr>
        <w:pStyle w:val="Heading2"/>
      </w:pPr>
      <w:bookmarkStart w:id="788" w:name="_Toc83886166"/>
      <w:r w:rsidRPr="00EA444B">
        <w:t>New Research and Development Initiatives</w:t>
      </w:r>
      <w:bookmarkEnd w:id="788"/>
    </w:p>
    <w:p w14:paraId="144DE983" w14:textId="6F28BE06" w:rsidR="004D7908" w:rsidRPr="00EA444B" w:rsidRDefault="004D7908" w:rsidP="000E21B8">
      <w:pPr>
        <w:pStyle w:val="PlainText"/>
      </w:pPr>
      <w:r w:rsidRPr="00EA444B">
        <w:t xml:space="preserve">AUI and </w:t>
      </w:r>
      <w:r w:rsidR="007332E9">
        <w:t>GBO</w:t>
      </w:r>
      <w:r w:rsidRPr="00EA444B">
        <w:t xml:space="preserve"> encourage the pursuit of Research and Development (R&amp;D) projects, substantial undertakings that result in considerable new capability or modernization. A pipeline of new capabilities is necessary to ensure the ongoing scientific competitiveness of the Observatory as well as retention and continued development of its staff. </w:t>
      </w:r>
      <w:r w:rsidR="00697DB6" w:rsidRPr="00697DB6">
        <w:t>The funding for much of the Observatory R&amp;D activities is outside the annual NSF cooperative agree</w:t>
      </w:r>
      <w:r w:rsidR="00697DB6">
        <w:t>ment-funded operating budget, so t</w:t>
      </w:r>
      <w:r w:rsidRPr="00EA444B">
        <w:t xml:space="preserve">hese projects are not included in this proposal’s budget, but are described in </w:t>
      </w:r>
      <w:r w:rsidR="00255F9C" w:rsidRPr="00EA444B">
        <w:t>S</w:t>
      </w:r>
      <w:r w:rsidR="00BC7EB8">
        <w:t xml:space="preserve">ection </w:t>
      </w:r>
      <w:r w:rsidR="00E40028">
        <w:t>9</w:t>
      </w:r>
      <w:r w:rsidRPr="00EA444B">
        <w:t xml:space="preserve"> to show planned directions for </w:t>
      </w:r>
      <w:r w:rsidR="007332E9">
        <w:t>GBO</w:t>
      </w:r>
      <w:r w:rsidRPr="00EA444B">
        <w:t>. Continuous proactive efforts to acquire external funding for these efforts will be made</w:t>
      </w:r>
      <w:r w:rsidR="0048249B">
        <w:t xml:space="preserve"> throughout FY202</w:t>
      </w:r>
      <w:r w:rsidR="00A96C48">
        <w:t>2</w:t>
      </w:r>
      <w:r w:rsidRPr="00EA444B">
        <w:t xml:space="preserve">, with particular attention paid to development proposal solicitations and to development resources that may be available through </w:t>
      </w:r>
      <w:r w:rsidR="007332E9">
        <w:t>GBO</w:t>
      </w:r>
      <w:r w:rsidR="007332E9" w:rsidRPr="00EA444B">
        <w:t xml:space="preserve"> </w:t>
      </w:r>
      <w:r w:rsidRPr="00EA444B">
        <w:t xml:space="preserve">partners. When seeking </w:t>
      </w:r>
      <w:r w:rsidRPr="00EA444B">
        <w:rPr>
          <w:spacing w:val="-4"/>
        </w:rPr>
        <w:t>funding, AUI will also seek external stakeholders such as potential development partners and users.</w:t>
      </w:r>
    </w:p>
    <w:p w14:paraId="4509C8FA" w14:textId="3DD707BA" w:rsidR="00035A83" w:rsidRPr="004F3371" w:rsidRDefault="004D7908" w:rsidP="00B151DA">
      <w:pPr>
        <w:spacing w:after="320" w:line="257" w:lineRule="auto"/>
      </w:pPr>
      <w:r w:rsidRPr="00EA444B">
        <w:lastRenderedPageBreak/>
        <w:t xml:space="preserve">AUI encourages the disclosure and supports the pursuit of Intellectual Property (IP) protection for inventions and ideas. AUI continually seeks external parties interested in partnering or licensing technology developed as a matter of course of the running the </w:t>
      </w:r>
      <w:r w:rsidR="007332E9">
        <w:t>GBO</w:t>
      </w:r>
      <w:r w:rsidRPr="00EA444B">
        <w:t>.</w:t>
      </w:r>
    </w:p>
    <w:p w14:paraId="292724BB" w14:textId="77777777" w:rsidR="004D7908" w:rsidRPr="00EA444B" w:rsidRDefault="004D7908" w:rsidP="00BE3952">
      <w:pPr>
        <w:pStyle w:val="Heading2"/>
      </w:pPr>
      <w:bookmarkStart w:id="789" w:name="_Toc83886167"/>
      <w:r w:rsidRPr="00EA444B">
        <w:t>Other AUI Observatory Synergies</w:t>
      </w:r>
      <w:bookmarkEnd w:id="789"/>
    </w:p>
    <w:p w14:paraId="07C04059" w14:textId="74750EAB" w:rsidR="00314661" w:rsidRDefault="00314661" w:rsidP="00BE3952">
      <w:pPr>
        <w:pStyle w:val="Heading3"/>
      </w:pPr>
      <w:r>
        <w:t>Overview</w:t>
      </w:r>
    </w:p>
    <w:p w14:paraId="16735DE5" w14:textId="66B68057" w:rsidR="004D7908" w:rsidRPr="00EA444B" w:rsidRDefault="004D7908" w:rsidP="000E21B8">
      <w:r w:rsidRPr="00EA444B">
        <w:t xml:space="preserve">AUI leads other facilities and projects that offer synergies with </w:t>
      </w:r>
      <w:r w:rsidR="007332E9">
        <w:t>GBO</w:t>
      </w:r>
      <w:r w:rsidRPr="00EA444B">
        <w:t xml:space="preserve">, namely the NRAO suite of instruments—the VLA, VLBA, and ALMA. </w:t>
      </w:r>
      <w:r w:rsidRPr="00EA444B">
        <w:rPr>
          <w:rFonts w:eastAsia="Times New Roman" w:cstheme="minorHAnsi"/>
          <w:color w:val="000000"/>
        </w:rPr>
        <w:t>The GBT’s filled aperture has comparable collecting area and sensitivity to ALMA and the VLA, but with the image brought to a single focal plane. This provides the GBT with extraordinary sensitivity to extended, low surface-brightness objects as well as high sensitivity to point-source radiators such as pulsars. The single focal plane is ideal for rapid, wide-field imaging systems</w:t>
      </w:r>
      <w:r w:rsidRPr="00EA444B">
        <w:rPr>
          <w:rFonts w:eastAsia="Times New Roman"/>
          <w:color w:val="000000"/>
        </w:rPr>
        <w:t>—</w:t>
      </w:r>
      <w:r w:rsidRPr="00EA444B">
        <w:rPr>
          <w:rFonts w:eastAsia="Times New Roman" w:cstheme="minorHAnsi"/>
          <w:color w:val="000000"/>
        </w:rPr>
        <w:t xml:space="preserve">cameras. Because the GBT has access to 85% of the celestial sphere, it serves as the wide-field imaging complement to both ALMA and the VLA. The single focal plane also provides an accessible development platform and allows much of the advanced instrumentation to be provided by university-based laboratory groups. The GBT’s high sensitivity imaging and point-source capabilities enable a large and varied program of key science projects. In addition, the GBT often joins the VLBA for interferometry observations to provide a critical threshold of sensitivity for a number of important projects, including, for example, the </w:t>
      </w:r>
      <w:proofErr w:type="spellStart"/>
      <w:r w:rsidRPr="00EA444B">
        <w:rPr>
          <w:rFonts w:eastAsia="Times New Roman" w:cstheme="minorHAnsi"/>
          <w:color w:val="000000"/>
        </w:rPr>
        <w:t>megamaser</w:t>
      </w:r>
      <w:proofErr w:type="spellEnd"/>
      <w:r w:rsidRPr="00EA444B">
        <w:rPr>
          <w:rFonts w:eastAsia="Times New Roman" w:cstheme="minorHAnsi"/>
          <w:color w:val="000000"/>
        </w:rPr>
        <w:t xml:space="preserve"> cosmology experiment.</w:t>
      </w:r>
    </w:p>
    <w:p w14:paraId="62E5E3C5" w14:textId="4ADB293E" w:rsidR="004D7908" w:rsidRDefault="004D7908">
      <w:r w:rsidRPr="00EA444B">
        <w:t>To maximize the ability of the community to take advantage of the telescopes within the AUI observatories, the VLA, VLBA, and GBT use a single proposal submission tool and the same proposal deadlines, which allows proposers to select one, two, or all three telescopes for their proposal. The international nature of ALMA prevents joining the ALMA proposal submission tool or proposal deadline with that of the other AUI Observatories, but joint GBT+ALMA proposals may still be permitted, with the ALMA TAC results typically given precedence over the GBT TAC, to prevent instances of double jeopardy to the proposers.</w:t>
      </w:r>
    </w:p>
    <w:p w14:paraId="64AB13E8" w14:textId="77777777" w:rsidR="00314661" w:rsidRPr="00EA444B" w:rsidRDefault="00314661" w:rsidP="00BE3952">
      <w:pPr>
        <w:pStyle w:val="Heading3"/>
      </w:pPr>
      <w:r w:rsidRPr="00EA444B">
        <w:t xml:space="preserve">ngVLA Synergies </w:t>
      </w:r>
    </w:p>
    <w:p w14:paraId="12278B44" w14:textId="00F5FC30" w:rsidR="00314661" w:rsidRDefault="00314661" w:rsidP="00314661">
      <w:r>
        <w:t xml:space="preserve">As the plans for the ngVLA develop, </w:t>
      </w:r>
      <w:r w:rsidR="007332E9">
        <w:t>GBO</w:t>
      </w:r>
      <w:r>
        <w:t xml:space="preserve"> remains in close communications with NRAO colleagues concerning areas where the GBO or the GBT in particular strengthen the science capabilities or facilitate construction of the planned instrument. There are three general areas of discussion. These will become more formalized in FY2022 as ngVLA plans mature and stabilize.</w:t>
      </w:r>
    </w:p>
    <w:p w14:paraId="12167D55" w14:textId="3AC22C43" w:rsidR="00314661" w:rsidRDefault="00314661" w:rsidP="00314661">
      <w:proofErr w:type="spellStart"/>
      <w:r w:rsidRPr="00E40028">
        <w:rPr>
          <w:b/>
        </w:rPr>
        <w:t>GBT+ngVLA</w:t>
      </w:r>
      <w:proofErr w:type="spellEnd"/>
      <w:r w:rsidRPr="00B151DA">
        <w:rPr>
          <w:u w:val="single"/>
        </w:rPr>
        <w:t>:</w:t>
      </w:r>
      <w:r w:rsidRPr="00B151DA">
        <w:t xml:space="preserve"> </w:t>
      </w:r>
      <w:r w:rsidR="00F77196" w:rsidRPr="00B151DA">
        <w:t>A</w:t>
      </w:r>
      <w:r w:rsidR="00F77196" w:rsidRPr="00F77196">
        <w:t xml:space="preserve"> significant number of the ngVLA science cases are enhanced by the existence of a large (diameter ≥45-m) single dish telescope with frequency coverage at least equal to that of the ngVLA. In FY</w:t>
      </w:r>
      <w:r w:rsidR="00B151DA">
        <w:t>20</w:t>
      </w:r>
      <w:r w:rsidR="00F77196" w:rsidRPr="00F77196">
        <w:t>21 an ngVLA memo was written, exploring the role of the GBT within the ngVLA. The outcomes of this memo will be taken into consideration by NRAO and GBO management in FY</w:t>
      </w:r>
      <w:r w:rsidR="00B151DA">
        <w:t>20</w:t>
      </w:r>
      <w:r w:rsidR="00F77196" w:rsidRPr="00F77196">
        <w:t>22 for both facilities’ long</w:t>
      </w:r>
      <w:r w:rsidR="003724C5">
        <w:t>-</w:t>
      </w:r>
      <w:r w:rsidR="00F77196" w:rsidRPr="00F77196">
        <w:t>term plans.</w:t>
      </w:r>
    </w:p>
    <w:p w14:paraId="03D2E041" w14:textId="0E482E85" w:rsidR="00314661" w:rsidRPr="00EA444B" w:rsidRDefault="00314661" w:rsidP="00314661">
      <w:r w:rsidRPr="000A5314">
        <w:rPr>
          <w:b/>
        </w:rPr>
        <w:t>ngVLA Green Bank Site</w:t>
      </w:r>
      <w:r w:rsidRPr="000A5314">
        <w:t>:</w:t>
      </w:r>
      <w:r w:rsidRPr="00F77196">
        <w:t xml:space="preserve"> </w:t>
      </w:r>
      <w:r w:rsidRPr="00B151DA">
        <w:rPr>
          <w:spacing w:val="-2"/>
        </w:rPr>
        <w:t xml:space="preserve">Current plans for the ngVLA include placement of a long-baseline site at </w:t>
      </w:r>
      <w:r w:rsidR="007332E9" w:rsidRPr="00B151DA">
        <w:rPr>
          <w:spacing w:val="-2"/>
        </w:rPr>
        <w:t>GBO</w:t>
      </w:r>
      <w:r w:rsidRPr="00B151DA">
        <w:rPr>
          <w:spacing w:val="-2"/>
        </w:rPr>
        <w:t>.</w:t>
      </w:r>
    </w:p>
    <w:p w14:paraId="4BF1BDD5" w14:textId="576ED9F5" w:rsidR="00314661" w:rsidRDefault="00314661" w:rsidP="00314661">
      <w:r w:rsidRPr="00A80CFC">
        <w:rPr>
          <w:b/>
        </w:rPr>
        <w:t>ngVLA Antenna Testing</w:t>
      </w:r>
      <w:r>
        <w:t>: A</w:t>
      </w:r>
      <w:r w:rsidRPr="003E54C2">
        <w:t>s technical progress for the ngVLA continues</w:t>
      </w:r>
      <w:r>
        <w:t xml:space="preserve">, </w:t>
      </w:r>
      <w:r w:rsidR="007332E9">
        <w:t>GBO</w:t>
      </w:r>
      <w:r>
        <w:t xml:space="preserve"> will be a partner site for testing </w:t>
      </w:r>
      <w:r w:rsidRPr="003E54C2">
        <w:t xml:space="preserve">ngVLA technologies, </w:t>
      </w:r>
      <w:r>
        <w:t xml:space="preserve">utilizing </w:t>
      </w:r>
      <w:r w:rsidR="007332E9">
        <w:t>GBO</w:t>
      </w:r>
      <w:r>
        <w:t>’s</w:t>
      </w:r>
      <w:r w:rsidRPr="003E54C2">
        <w:t xml:space="preserve"> </w:t>
      </w:r>
      <w:r>
        <w:t xml:space="preserve">capabilities in </w:t>
      </w:r>
      <w:r w:rsidRPr="003E54C2">
        <w:t xml:space="preserve">manufacturing and testing of individual </w:t>
      </w:r>
      <w:r w:rsidRPr="003E54C2">
        <w:lastRenderedPageBreak/>
        <w:t>components</w:t>
      </w:r>
      <w:r>
        <w:t>. Activities include installations of the various ngVLA antenna designs in an RFI-monitored environment, custom machining in the GBO shops, and utilizing the GBO indoor and outdoor test ranges.</w:t>
      </w:r>
    </w:p>
    <w:p w14:paraId="140C7244" w14:textId="3C139266" w:rsidR="00314661" w:rsidRDefault="00314661" w:rsidP="00314661">
      <w:r w:rsidRPr="00A80CFC">
        <w:rPr>
          <w:b/>
        </w:rPr>
        <w:t>The Green Bank Arra</w:t>
      </w:r>
      <w:r w:rsidRPr="00A80CFC">
        <w:t>y:</w:t>
      </w:r>
      <w:r w:rsidRPr="00EA444B">
        <w:t xml:space="preserve"> </w:t>
      </w:r>
      <w:r w:rsidRPr="00E55636">
        <w:t xml:space="preserve">A </w:t>
      </w:r>
      <w:r>
        <w:t xml:space="preserve">second </w:t>
      </w:r>
      <w:r w:rsidRPr="00E55636">
        <w:t xml:space="preserve">possible role for </w:t>
      </w:r>
      <w:r w:rsidR="007332E9">
        <w:t>GBO</w:t>
      </w:r>
      <w:r w:rsidRPr="00E55636">
        <w:t xml:space="preserve"> within the ngVLA would be the placement of ~10 ngVLA antenna in Green Bank, creating an instrument known as the Green Bank Array (GBA). The GBA could be operated together as either an interferometer, or as a (distributed-aperture) single dish, i.e. phased array. It is intended to improve the VLBI capabilities of the ngVLA itself, and to operate as a standalone facility, which dramatically transforms the capabilities of the GBT into those of a world-class interferometer at a relatively modest cos</w:t>
      </w:r>
      <w:r>
        <w:t>t.</w:t>
      </w:r>
    </w:p>
    <w:p w14:paraId="01D34CE3" w14:textId="77777777" w:rsidR="004D7908" w:rsidRPr="00EA444B" w:rsidRDefault="004D7908" w:rsidP="00BE3952">
      <w:pPr>
        <w:pStyle w:val="Heading2"/>
      </w:pPr>
      <w:bookmarkStart w:id="790" w:name="_Toc83886168"/>
      <w:r w:rsidRPr="00EA444B">
        <w:t>Work for Others</w:t>
      </w:r>
      <w:bookmarkEnd w:id="790"/>
    </w:p>
    <w:p w14:paraId="223943C2" w14:textId="2A53C33F" w:rsidR="004D7908" w:rsidRPr="00EA444B" w:rsidRDefault="004D7908" w:rsidP="000E21B8">
      <w:r w:rsidRPr="00EA444B">
        <w:t xml:space="preserve">Work for Others (WFO) is the term used to describe contract work performed by </w:t>
      </w:r>
      <w:r w:rsidR="001E108C">
        <w:t>GBO</w:t>
      </w:r>
      <w:r w:rsidR="001E108C" w:rsidRPr="00EA444B">
        <w:t xml:space="preserve"> </w:t>
      </w:r>
      <w:r w:rsidRPr="00EA444B">
        <w:t xml:space="preserve">staff for external (potentially partner) organizations. Some examples of WFO activities include providing organizations with data in a form that is not currently supported by operations (e.g., supplying baseband voltage data rather than raw data products), or supporting through development of new software or hardware specific missions such as real-time downlink of data. Because staff subject matter expertise is being used, revenues from WFO can exceed the mean cost rates for operations of the </w:t>
      </w:r>
      <w:r w:rsidR="001E108C">
        <w:t>GBO</w:t>
      </w:r>
      <w:r w:rsidRPr="00EA444B">
        <w:t>, and thus yield a budgetary advantage with less-than-commensurate loss of observing time.</w:t>
      </w:r>
    </w:p>
    <w:p w14:paraId="523620B7" w14:textId="6A760134" w:rsidR="004D7908" w:rsidRPr="00EA444B" w:rsidRDefault="004D7908" w:rsidP="000E21B8">
      <w:r w:rsidRPr="00EA444B">
        <w:t xml:space="preserve">WFO serves three purposes. First, it can be used as a tool to mediate fluctuations in workforce requirements without excessive changes in staffing. Second, it can be used to maintain and develop skills and broaden the capabilities of </w:t>
      </w:r>
      <w:r w:rsidRPr="00EA444B">
        <w:rPr>
          <w:spacing w:val="-2"/>
        </w:rPr>
        <w:t xml:space="preserve">the </w:t>
      </w:r>
      <w:r w:rsidR="001E108C">
        <w:rPr>
          <w:spacing w:val="-2"/>
        </w:rPr>
        <w:t>GBO</w:t>
      </w:r>
      <w:r w:rsidR="001E108C" w:rsidRPr="00EA444B">
        <w:rPr>
          <w:spacing w:val="-2"/>
        </w:rPr>
        <w:t xml:space="preserve"> </w:t>
      </w:r>
      <w:r w:rsidRPr="00EA444B">
        <w:rPr>
          <w:spacing w:val="-2"/>
        </w:rPr>
        <w:t xml:space="preserve">staff. Third, well-bid contracts generate revenue that can be used to fund operations, </w:t>
      </w:r>
      <w:r w:rsidR="00A43A43">
        <w:rPr>
          <w:spacing w:val="-2"/>
        </w:rPr>
        <w:t xml:space="preserve">EPO, </w:t>
      </w:r>
      <w:r w:rsidRPr="00EA444B">
        <w:rPr>
          <w:spacing w:val="-2"/>
        </w:rPr>
        <w:t>infrastructure improvements, and R&amp;D activities.</w:t>
      </w:r>
      <w:r w:rsidRPr="00EA444B">
        <w:t xml:space="preserve"> </w:t>
      </w:r>
    </w:p>
    <w:p w14:paraId="55C8E672" w14:textId="0451CE42" w:rsidR="00035A83" w:rsidRDefault="0098436B" w:rsidP="000E21B8">
      <w:r w:rsidRPr="00EA444B">
        <w:rPr>
          <w:rStyle w:val="normaltextrun"/>
        </w:rPr>
        <w:t>WFO projects that require fractions of Full-Time Equivalents (FTE) of effort are carefully managed by the appropriate division heads and program managers, as these efforts typically need to be accomplished by existing staff.</w:t>
      </w:r>
      <w:r w:rsidRPr="00EA444B">
        <w:rPr>
          <w:rStyle w:val="eop"/>
        </w:rPr>
        <w:t> </w:t>
      </w:r>
      <w:r w:rsidR="000115D5" w:rsidRPr="00EA444B">
        <w:t xml:space="preserve"> </w:t>
      </w:r>
    </w:p>
    <w:p w14:paraId="51625C5E" w14:textId="77777777" w:rsidR="00EF1CA8" w:rsidRPr="00EF1CA8" w:rsidRDefault="00EF1CA8" w:rsidP="000E21B8">
      <w:pPr>
        <w:rPr>
          <w:sz w:val="2"/>
          <w:szCs w:val="2"/>
        </w:rPr>
      </w:pPr>
    </w:p>
    <w:p w14:paraId="5743122E" w14:textId="60D708AE" w:rsidR="004D7908" w:rsidRPr="0093250A" w:rsidRDefault="00E04132" w:rsidP="00EF1CA8">
      <w:pPr>
        <w:pStyle w:val="TableCaption"/>
        <w:jc w:val="center"/>
        <w:rPr>
          <w:i/>
        </w:rPr>
      </w:pPr>
      <w:r w:rsidRPr="000E21B8">
        <w:t>Table 9</w:t>
      </w:r>
      <w:r w:rsidR="004D7908" w:rsidRPr="000E21B8">
        <w:t>.</w:t>
      </w:r>
      <w:r w:rsidRPr="000E21B8">
        <w:t>2.</w:t>
      </w:r>
      <w:r w:rsidR="004D7908" w:rsidRPr="000E21B8">
        <w:t xml:space="preserve">4. Recent </w:t>
      </w:r>
      <w:r w:rsidR="00B24E9B" w:rsidRPr="000E21B8">
        <w:t xml:space="preserve">Telescope Time Sales and </w:t>
      </w:r>
      <w:r w:rsidR="004D7908" w:rsidRPr="000E21B8">
        <w:t>WFO activities</w:t>
      </w:r>
      <w:r w:rsidR="004D7908" w:rsidRPr="0093250A">
        <w:rPr>
          <w:i/>
        </w:rPr>
        <w:t>.</w:t>
      </w:r>
    </w:p>
    <w:tbl>
      <w:tblPr>
        <w:tblStyle w:val="TableGrid"/>
        <w:tblW w:w="0" w:type="auto"/>
        <w:jc w:val="center"/>
        <w:tblLook w:val="04A0" w:firstRow="1" w:lastRow="0" w:firstColumn="1" w:lastColumn="0" w:noHBand="0" w:noVBand="1"/>
      </w:tblPr>
      <w:tblGrid>
        <w:gridCol w:w="2800"/>
        <w:gridCol w:w="4360"/>
      </w:tblGrid>
      <w:tr w:rsidR="00B24E9B" w:rsidRPr="006C3BE9" w14:paraId="68B43305" w14:textId="77777777" w:rsidTr="00EF1CA8">
        <w:trPr>
          <w:trHeight w:val="260"/>
          <w:jc w:val="center"/>
        </w:trPr>
        <w:tc>
          <w:tcPr>
            <w:tcW w:w="0" w:type="auto"/>
            <w:gridSpan w:val="2"/>
            <w:shd w:val="clear" w:color="auto" w:fill="F2F2F2" w:themeFill="background1" w:themeFillShade="F2"/>
          </w:tcPr>
          <w:p w14:paraId="5649CFC2" w14:textId="66D7D5D5" w:rsidR="00B24E9B" w:rsidRPr="000A5314" w:rsidRDefault="00B24E9B" w:rsidP="000E21B8">
            <w:pPr>
              <w:rPr>
                <w:b/>
              </w:rPr>
            </w:pPr>
            <w:r w:rsidRPr="000A5314">
              <w:rPr>
                <w:b/>
              </w:rPr>
              <w:t>Telescope Time Sales</w:t>
            </w:r>
          </w:p>
        </w:tc>
      </w:tr>
      <w:tr w:rsidR="006C3BE9" w:rsidRPr="006C3BE9" w14:paraId="1A61BDB0" w14:textId="77777777" w:rsidTr="00EF1CA8">
        <w:trPr>
          <w:trHeight w:val="269"/>
          <w:jc w:val="center"/>
        </w:trPr>
        <w:tc>
          <w:tcPr>
            <w:tcW w:w="0" w:type="auto"/>
            <w:shd w:val="clear" w:color="auto" w:fill="F2F2F2" w:themeFill="background1" w:themeFillShade="F2"/>
          </w:tcPr>
          <w:p w14:paraId="7C087A9F" w14:textId="77777777" w:rsidR="006C3BE9" w:rsidRPr="00035A83" w:rsidRDefault="006C3BE9" w:rsidP="00EF1CA8">
            <w:pPr>
              <w:spacing w:line="240" w:lineRule="auto"/>
            </w:pPr>
            <w:r w:rsidRPr="00035A83">
              <w:t>Organization</w:t>
            </w:r>
          </w:p>
        </w:tc>
        <w:tc>
          <w:tcPr>
            <w:tcW w:w="0" w:type="auto"/>
            <w:shd w:val="clear" w:color="auto" w:fill="F2F2F2" w:themeFill="background1" w:themeFillShade="F2"/>
          </w:tcPr>
          <w:p w14:paraId="6C552B0F" w14:textId="77777777" w:rsidR="006C3BE9" w:rsidRPr="00035A83" w:rsidRDefault="006C3BE9" w:rsidP="00EF1CA8">
            <w:pPr>
              <w:spacing w:line="240" w:lineRule="auto"/>
            </w:pPr>
            <w:r w:rsidRPr="00035A83">
              <w:t>Purpose</w:t>
            </w:r>
          </w:p>
        </w:tc>
      </w:tr>
      <w:tr w:rsidR="006C3BE9" w:rsidRPr="006C3BE9" w14:paraId="6ACA9D88" w14:textId="77777777" w:rsidTr="00035A83">
        <w:trPr>
          <w:trHeight w:val="20"/>
          <w:jc w:val="center"/>
        </w:trPr>
        <w:tc>
          <w:tcPr>
            <w:tcW w:w="0" w:type="auto"/>
          </w:tcPr>
          <w:p w14:paraId="32B6B752" w14:textId="77777777" w:rsidR="006C3BE9" w:rsidRPr="00035A83" w:rsidRDefault="006C3BE9" w:rsidP="00EF1CA8">
            <w:pPr>
              <w:spacing w:line="240" w:lineRule="auto"/>
            </w:pPr>
            <w:r w:rsidRPr="00035A83">
              <w:t>West Virginia University</w:t>
            </w:r>
          </w:p>
        </w:tc>
        <w:tc>
          <w:tcPr>
            <w:tcW w:w="0" w:type="auto"/>
          </w:tcPr>
          <w:p w14:paraId="26A388FA" w14:textId="10A641C5" w:rsidR="006C3BE9" w:rsidRPr="00035A83" w:rsidRDefault="006C3BE9" w:rsidP="00EF1CA8">
            <w:pPr>
              <w:spacing w:line="240" w:lineRule="auto"/>
            </w:pPr>
            <w:r w:rsidRPr="00035A83">
              <w:t xml:space="preserve">20-meter </w:t>
            </w:r>
            <w:r w:rsidR="00B24E9B" w:rsidRPr="00035A83">
              <w:t>student observing</w:t>
            </w:r>
            <w:r w:rsidRPr="00035A83">
              <w:t xml:space="preserve"> </w:t>
            </w:r>
            <w:r w:rsidR="00B24E9B" w:rsidRPr="00035A83">
              <w:t xml:space="preserve">&amp; </w:t>
            </w:r>
            <w:r w:rsidRPr="00035A83">
              <w:t>FRB monitoring</w:t>
            </w:r>
          </w:p>
        </w:tc>
      </w:tr>
      <w:tr w:rsidR="006C3BE9" w:rsidRPr="006C3BE9" w14:paraId="41C87593" w14:textId="77777777" w:rsidTr="00035A83">
        <w:trPr>
          <w:trHeight w:val="20"/>
          <w:jc w:val="center"/>
        </w:trPr>
        <w:tc>
          <w:tcPr>
            <w:tcW w:w="0" w:type="auto"/>
          </w:tcPr>
          <w:p w14:paraId="7A0A6BE1" w14:textId="77777777" w:rsidR="006C3BE9" w:rsidRPr="00035A83" w:rsidRDefault="006C3BE9" w:rsidP="00EF1CA8">
            <w:pPr>
              <w:spacing w:line="240" w:lineRule="auto"/>
            </w:pPr>
            <w:r w:rsidRPr="00035A83">
              <w:t>JPL/NASA</w:t>
            </w:r>
          </w:p>
        </w:tc>
        <w:tc>
          <w:tcPr>
            <w:tcW w:w="0" w:type="auto"/>
          </w:tcPr>
          <w:p w14:paraId="7CD99224" w14:textId="77777777" w:rsidR="006C3BE9" w:rsidRPr="00035A83" w:rsidRDefault="006C3BE9" w:rsidP="00EF1CA8">
            <w:pPr>
              <w:spacing w:line="240" w:lineRule="auto"/>
            </w:pPr>
            <w:r w:rsidRPr="00035A83">
              <w:t>Mars Insight EDL monitoring</w:t>
            </w:r>
          </w:p>
        </w:tc>
      </w:tr>
      <w:tr w:rsidR="006C3BE9" w:rsidRPr="006C3BE9" w14:paraId="53A5E138" w14:textId="77777777" w:rsidTr="00EF1CA8">
        <w:trPr>
          <w:trHeight w:val="287"/>
          <w:jc w:val="center"/>
        </w:trPr>
        <w:tc>
          <w:tcPr>
            <w:tcW w:w="0" w:type="auto"/>
          </w:tcPr>
          <w:p w14:paraId="4212FA73" w14:textId="77777777" w:rsidR="006C3BE9" w:rsidRPr="00035A83" w:rsidRDefault="006C3BE9" w:rsidP="00EF1CA8">
            <w:pPr>
              <w:spacing w:line="240" w:lineRule="auto"/>
            </w:pPr>
            <w:r w:rsidRPr="00035A83">
              <w:t>NYU Abu Dhabi</w:t>
            </w:r>
          </w:p>
        </w:tc>
        <w:tc>
          <w:tcPr>
            <w:tcW w:w="0" w:type="auto"/>
          </w:tcPr>
          <w:p w14:paraId="6D1EDA34" w14:textId="77777777" w:rsidR="006C3BE9" w:rsidRPr="00035A83" w:rsidRDefault="006C3BE9" w:rsidP="00EF1CA8">
            <w:pPr>
              <w:spacing w:line="240" w:lineRule="auto"/>
            </w:pPr>
            <w:r w:rsidRPr="00035A83">
              <w:t>GBT time</w:t>
            </w:r>
          </w:p>
        </w:tc>
      </w:tr>
      <w:tr w:rsidR="006C3BE9" w:rsidRPr="006C3BE9" w14:paraId="044FCB89" w14:textId="77777777" w:rsidTr="00035A83">
        <w:trPr>
          <w:trHeight w:val="20"/>
          <w:jc w:val="center"/>
        </w:trPr>
        <w:tc>
          <w:tcPr>
            <w:tcW w:w="0" w:type="auto"/>
          </w:tcPr>
          <w:p w14:paraId="1DBE0394" w14:textId="77777777" w:rsidR="006C3BE9" w:rsidRPr="00035A83" w:rsidRDefault="006C3BE9" w:rsidP="00EF1CA8">
            <w:pPr>
              <w:spacing w:line="240" w:lineRule="auto"/>
            </w:pPr>
            <w:r w:rsidRPr="00035A83">
              <w:t>MIT/Lincoln Labs</w:t>
            </w:r>
          </w:p>
        </w:tc>
        <w:tc>
          <w:tcPr>
            <w:tcW w:w="0" w:type="auto"/>
          </w:tcPr>
          <w:p w14:paraId="1D9BFD44" w14:textId="77777777" w:rsidR="006C3BE9" w:rsidRPr="00035A83" w:rsidRDefault="006C3BE9" w:rsidP="00EF1CA8">
            <w:pPr>
              <w:spacing w:line="240" w:lineRule="auto"/>
            </w:pPr>
            <w:r w:rsidRPr="00035A83">
              <w:t xml:space="preserve">GBT time </w:t>
            </w:r>
          </w:p>
        </w:tc>
      </w:tr>
      <w:tr w:rsidR="006C3BE9" w:rsidRPr="006C3BE9" w14:paraId="4063490A" w14:textId="77777777" w:rsidTr="00035A83">
        <w:trPr>
          <w:trHeight w:val="20"/>
          <w:jc w:val="center"/>
        </w:trPr>
        <w:tc>
          <w:tcPr>
            <w:tcW w:w="0" w:type="auto"/>
          </w:tcPr>
          <w:p w14:paraId="043FF23B" w14:textId="77777777" w:rsidR="006C3BE9" w:rsidRPr="00035A83" w:rsidRDefault="006C3BE9" w:rsidP="00EF1CA8">
            <w:pPr>
              <w:spacing w:line="240" w:lineRule="auto"/>
            </w:pPr>
            <w:r w:rsidRPr="00035A83">
              <w:t>SARA</w:t>
            </w:r>
          </w:p>
        </w:tc>
        <w:tc>
          <w:tcPr>
            <w:tcW w:w="0" w:type="auto"/>
          </w:tcPr>
          <w:p w14:paraId="243C8266" w14:textId="77777777" w:rsidR="006C3BE9" w:rsidRPr="00035A83" w:rsidRDefault="006C3BE9" w:rsidP="00EF1CA8">
            <w:pPr>
              <w:spacing w:line="240" w:lineRule="auto"/>
            </w:pPr>
            <w:r w:rsidRPr="00035A83">
              <w:t xml:space="preserve">20-meter telescope time </w:t>
            </w:r>
          </w:p>
        </w:tc>
      </w:tr>
      <w:tr w:rsidR="006C3BE9" w:rsidRPr="006C3BE9" w14:paraId="1B70EE58" w14:textId="77777777" w:rsidTr="00035A83">
        <w:trPr>
          <w:trHeight w:val="20"/>
          <w:jc w:val="center"/>
        </w:trPr>
        <w:tc>
          <w:tcPr>
            <w:tcW w:w="0" w:type="auto"/>
          </w:tcPr>
          <w:p w14:paraId="3BF5D123" w14:textId="77777777" w:rsidR="006C3BE9" w:rsidRPr="00035A83" w:rsidRDefault="006C3BE9" w:rsidP="00EF1CA8">
            <w:pPr>
              <w:spacing w:line="240" w:lineRule="auto"/>
            </w:pPr>
            <w:r w:rsidRPr="00035A83">
              <w:t>West Virginia University</w:t>
            </w:r>
          </w:p>
        </w:tc>
        <w:tc>
          <w:tcPr>
            <w:tcW w:w="0" w:type="auto"/>
          </w:tcPr>
          <w:p w14:paraId="6064F0A6" w14:textId="5F2277B9" w:rsidR="006C3BE9" w:rsidRPr="00035A83" w:rsidRDefault="006C3BE9" w:rsidP="00EF1CA8">
            <w:pPr>
              <w:spacing w:line="240" w:lineRule="auto"/>
            </w:pPr>
            <w:r w:rsidRPr="00035A83">
              <w:t xml:space="preserve">20-meter </w:t>
            </w:r>
            <w:r w:rsidR="00B24E9B" w:rsidRPr="00035A83">
              <w:t>student observing</w:t>
            </w:r>
            <w:r w:rsidRPr="00035A83">
              <w:t xml:space="preserve"> </w:t>
            </w:r>
          </w:p>
        </w:tc>
      </w:tr>
      <w:tr w:rsidR="006C3BE9" w:rsidRPr="006C3BE9" w14:paraId="077F41AE" w14:textId="77777777" w:rsidTr="00EF1CA8">
        <w:trPr>
          <w:trHeight w:val="323"/>
          <w:jc w:val="center"/>
        </w:trPr>
        <w:tc>
          <w:tcPr>
            <w:tcW w:w="0" w:type="auto"/>
          </w:tcPr>
          <w:p w14:paraId="567457DF" w14:textId="77777777" w:rsidR="006C3BE9" w:rsidRPr="00035A83" w:rsidRDefault="006C3BE9" w:rsidP="00EF1CA8">
            <w:pPr>
              <w:spacing w:line="240" w:lineRule="auto"/>
            </w:pPr>
            <w:r w:rsidRPr="00035A83">
              <w:t>Union College</w:t>
            </w:r>
          </w:p>
        </w:tc>
        <w:tc>
          <w:tcPr>
            <w:tcW w:w="0" w:type="auto"/>
          </w:tcPr>
          <w:p w14:paraId="485BDECD" w14:textId="5A3BF446" w:rsidR="006C3BE9" w:rsidRPr="00035A83" w:rsidRDefault="006C3BE9" w:rsidP="00EF1CA8">
            <w:pPr>
              <w:spacing w:line="240" w:lineRule="auto"/>
            </w:pPr>
            <w:r w:rsidRPr="00035A83">
              <w:t xml:space="preserve">20-meter </w:t>
            </w:r>
            <w:r w:rsidR="00B24E9B" w:rsidRPr="00035A83">
              <w:t>student observing</w:t>
            </w:r>
            <w:r w:rsidRPr="00035A83">
              <w:t xml:space="preserve"> </w:t>
            </w:r>
          </w:p>
        </w:tc>
      </w:tr>
      <w:tr w:rsidR="006C3BE9" w:rsidRPr="006C3BE9" w14:paraId="25DAFE83" w14:textId="77777777" w:rsidTr="00035A83">
        <w:trPr>
          <w:trHeight w:val="20"/>
          <w:jc w:val="center"/>
        </w:trPr>
        <w:tc>
          <w:tcPr>
            <w:tcW w:w="0" w:type="auto"/>
          </w:tcPr>
          <w:p w14:paraId="38077692" w14:textId="1BD6AB83" w:rsidR="006C3BE9" w:rsidRPr="00035A83" w:rsidRDefault="006C3BE9" w:rsidP="00EF1CA8">
            <w:pPr>
              <w:spacing w:line="240" w:lineRule="auto"/>
            </w:pPr>
            <w:r w:rsidRPr="00035A83">
              <w:lastRenderedPageBreak/>
              <w:t>Pennsylvania State</w:t>
            </w:r>
            <w:r w:rsidR="00B24E9B" w:rsidRPr="00035A83">
              <w:t xml:space="preserve"> University</w:t>
            </w:r>
          </w:p>
        </w:tc>
        <w:tc>
          <w:tcPr>
            <w:tcW w:w="0" w:type="auto"/>
          </w:tcPr>
          <w:p w14:paraId="115C8806" w14:textId="5D1EA5E8" w:rsidR="006C3BE9" w:rsidRPr="00035A83" w:rsidRDefault="006C3BE9" w:rsidP="00EF1CA8">
            <w:pPr>
              <w:spacing w:line="240" w:lineRule="auto"/>
            </w:pPr>
            <w:r w:rsidRPr="00035A83">
              <w:t xml:space="preserve">20-meter </w:t>
            </w:r>
            <w:r w:rsidR="00B24E9B" w:rsidRPr="00035A83">
              <w:t>student observing</w:t>
            </w:r>
          </w:p>
        </w:tc>
      </w:tr>
      <w:tr w:rsidR="006C3BE9" w:rsidRPr="006C3BE9" w14:paraId="5A6F2B2A" w14:textId="77777777" w:rsidTr="00035A83">
        <w:trPr>
          <w:trHeight w:val="20"/>
          <w:jc w:val="center"/>
        </w:trPr>
        <w:tc>
          <w:tcPr>
            <w:tcW w:w="0" w:type="auto"/>
          </w:tcPr>
          <w:p w14:paraId="5867EB5B" w14:textId="77777777" w:rsidR="006C3BE9" w:rsidRPr="00035A83" w:rsidRDefault="006C3BE9" w:rsidP="00EF1CA8">
            <w:pPr>
              <w:spacing w:line="240" w:lineRule="auto"/>
            </w:pPr>
            <w:r w:rsidRPr="00035A83">
              <w:t>FAST, China</w:t>
            </w:r>
          </w:p>
        </w:tc>
        <w:tc>
          <w:tcPr>
            <w:tcW w:w="0" w:type="auto"/>
          </w:tcPr>
          <w:p w14:paraId="25BCE378" w14:textId="77777777" w:rsidR="006C3BE9" w:rsidRPr="00035A83" w:rsidRDefault="006C3BE9" w:rsidP="00EF1CA8">
            <w:pPr>
              <w:spacing w:line="240" w:lineRule="auto"/>
            </w:pPr>
            <w:r w:rsidRPr="00035A83">
              <w:t>GBT Time</w:t>
            </w:r>
          </w:p>
        </w:tc>
      </w:tr>
      <w:tr w:rsidR="006C3BE9" w:rsidRPr="006C3BE9" w14:paraId="093257D2" w14:textId="77777777" w:rsidTr="00035A83">
        <w:trPr>
          <w:trHeight w:val="20"/>
          <w:jc w:val="center"/>
        </w:trPr>
        <w:tc>
          <w:tcPr>
            <w:tcW w:w="0" w:type="auto"/>
          </w:tcPr>
          <w:p w14:paraId="75D7C96A" w14:textId="77777777" w:rsidR="006C3BE9" w:rsidRPr="00035A83" w:rsidRDefault="006C3BE9" w:rsidP="00EF1CA8">
            <w:pPr>
              <w:spacing w:line="240" w:lineRule="auto"/>
            </w:pPr>
            <w:r w:rsidRPr="00035A83">
              <w:t>Berry University</w:t>
            </w:r>
          </w:p>
        </w:tc>
        <w:tc>
          <w:tcPr>
            <w:tcW w:w="0" w:type="auto"/>
          </w:tcPr>
          <w:p w14:paraId="7256DB92" w14:textId="0C6FAE64" w:rsidR="006C3BE9" w:rsidRPr="00035A83" w:rsidRDefault="006C3BE9" w:rsidP="00EF1CA8">
            <w:pPr>
              <w:spacing w:line="240" w:lineRule="auto"/>
            </w:pPr>
            <w:r w:rsidRPr="00035A83">
              <w:t xml:space="preserve">20-meter </w:t>
            </w:r>
            <w:r w:rsidR="00B24E9B" w:rsidRPr="00035A83">
              <w:t>student observing</w:t>
            </w:r>
          </w:p>
        </w:tc>
      </w:tr>
      <w:tr w:rsidR="00F1692A" w:rsidRPr="006C3BE9" w14:paraId="7E6C89B8" w14:textId="77777777" w:rsidTr="00035A83">
        <w:trPr>
          <w:trHeight w:val="269"/>
          <w:jc w:val="center"/>
        </w:trPr>
        <w:tc>
          <w:tcPr>
            <w:tcW w:w="0" w:type="auto"/>
            <w:tcBorders>
              <w:bottom w:val="single" w:sz="4" w:space="0" w:color="000000" w:themeColor="text1"/>
            </w:tcBorders>
          </w:tcPr>
          <w:p w14:paraId="6CBFC4DC" w14:textId="682DC6B1" w:rsidR="00F1692A" w:rsidRPr="00035A83" w:rsidRDefault="00F1692A" w:rsidP="00EF1CA8">
            <w:pPr>
              <w:spacing w:line="240" w:lineRule="auto"/>
            </w:pPr>
            <w:r>
              <w:t xml:space="preserve">Haverford </w:t>
            </w:r>
            <w:r w:rsidR="00C81DBD">
              <w:t>College</w:t>
            </w:r>
          </w:p>
        </w:tc>
        <w:tc>
          <w:tcPr>
            <w:tcW w:w="0" w:type="auto"/>
            <w:tcBorders>
              <w:bottom w:val="single" w:sz="4" w:space="0" w:color="000000" w:themeColor="text1"/>
            </w:tcBorders>
          </w:tcPr>
          <w:p w14:paraId="13F0229C" w14:textId="6E422F89" w:rsidR="00F1692A" w:rsidRPr="00035A83" w:rsidRDefault="00F1692A" w:rsidP="00EF1CA8">
            <w:pPr>
              <w:spacing w:line="240" w:lineRule="auto"/>
            </w:pPr>
            <w:r w:rsidRPr="00035A83">
              <w:t>20-meter student observing</w:t>
            </w:r>
          </w:p>
        </w:tc>
      </w:tr>
      <w:tr w:rsidR="00C81DBD" w:rsidRPr="006C3BE9" w14:paraId="5024AF02" w14:textId="77777777" w:rsidTr="00035A83">
        <w:trPr>
          <w:trHeight w:val="269"/>
          <w:jc w:val="center"/>
        </w:trPr>
        <w:tc>
          <w:tcPr>
            <w:tcW w:w="0" w:type="auto"/>
            <w:tcBorders>
              <w:bottom w:val="single" w:sz="4" w:space="0" w:color="000000" w:themeColor="text1"/>
            </w:tcBorders>
          </w:tcPr>
          <w:p w14:paraId="181F900E" w14:textId="0E5E64A5" w:rsidR="00C81DBD" w:rsidRDefault="00C81DBD" w:rsidP="00EF1CA8">
            <w:pPr>
              <w:spacing w:line="240" w:lineRule="auto"/>
            </w:pPr>
            <w:r>
              <w:t>Lycoming College</w:t>
            </w:r>
          </w:p>
        </w:tc>
        <w:tc>
          <w:tcPr>
            <w:tcW w:w="0" w:type="auto"/>
            <w:tcBorders>
              <w:bottom w:val="single" w:sz="4" w:space="0" w:color="000000" w:themeColor="text1"/>
            </w:tcBorders>
          </w:tcPr>
          <w:p w14:paraId="0DE61E4A" w14:textId="190DA078" w:rsidR="00C81DBD" w:rsidRPr="00035A83" w:rsidRDefault="00C81DBD" w:rsidP="00EF1CA8">
            <w:pPr>
              <w:spacing w:line="240" w:lineRule="auto"/>
            </w:pPr>
            <w:r w:rsidRPr="00035A83">
              <w:t>20-meter student observing</w:t>
            </w:r>
          </w:p>
        </w:tc>
      </w:tr>
      <w:tr w:rsidR="00F1692A" w:rsidRPr="006C3BE9" w14:paraId="120C249A" w14:textId="77777777" w:rsidTr="00035A83">
        <w:trPr>
          <w:trHeight w:val="269"/>
          <w:jc w:val="center"/>
        </w:trPr>
        <w:tc>
          <w:tcPr>
            <w:tcW w:w="0" w:type="auto"/>
            <w:tcBorders>
              <w:bottom w:val="single" w:sz="4" w:space="0" w:color="000000" w:themeColor="text1"/>
            </w:tcBorders>
          </w:tcPr>
          <w:p w14:paraId="6B5FB66E" w14:textId="77777777" w:rsidR="00F1692A" w:rsidRPr="00035A83" w:rsidRDefault="00F1692A" w:rsidP="00EF1CA8">
            <w:pPr>
              <w:spacing w:line="240" w:lineRule="auto"/>
            </w:pPr>
            <w:r w:rsidRPr="00035A83">
              <w:t>American University</w:t>
            </w:r>
          </w:p>
        </w:tc>
        <w:tc>
          <w:tcPr>
            <w:tcW w:w="0" w:type="auto"/>
            <w:tcBorders>
              <w:bottom w:val="single" w:sz="4" w:space="0" w:color="000000" w:themeColor="text1"/>
            </w:tcBorders>
          </w:tcPr>
          <w:p w14:paraId="51E67B11" w14:textId="269634F7" w:rsidR="00F1692A" w:rsidRPr="00035A83" w:rsidRDefault="00F1692A" w:rsidP="00EF1CA8">
            <w:pPr>
              <w:spacing w:line="240" w:lineRule="auto"/>
            </w:pPr>
            <w:r w:rsidRPr="00035A83">
              <w:t>20-meter student observing</w:t>
            </w:r>
          </w:p>
        </w:tc>
      </w:tr>
      <w:tr w:rsidR="00F1692A" w:rsidRPr="006C3BE9" w14:paraId="39D42545" w14:textId="77777777" w:rsidTr="00035A83">
        <w:trPr>
          <w:trHeight w:val="20"/>
          <w:jc w:val="center"/>
        </w:trPr>
        <w:tc>
          <w:tcPr>
            <w:tcW w:w="0" w:type="auto"/>
            <w:gridSpan w:val="2"/>
            <w:tcBorders>
              <w:left w:val="nil"/>
              <w:right w:val="nil"/>
            </w:tcBorders>
          </w:tcPr>
          <w:p w14:paraId="04A144AC" w14:textId="77777777" w:rsidR="00F1692A" w:rsidRPr="00035A83" w:rsidRDefault="00F1692A" w:rsidP="00EF1CA8">
            <w:pPr>
              <w:spacing w:line="240" w:lineRule="auto"/>
            </w:pPr>
          </w:p>
        </w:tc>
      </w:tr>
      <w:tr w:rsidR="00F1692A" w:rsidRPr="006C3BE9" w14:paraId="0FDE266D" w14:textId="77777777" w:rsidTr="00EF1CA8">
        <w:trPr>
          <w:trHeight w:val="20"/>
          <w:jc w:val="center"/>
        </w:trPr>
        <w:tc>
          <w:tcPr>
            <w:tcW w:w="0" w:type="auto"/>
            <w:gridSpan w:val="2"/>
            <w:shd w:val="clear" w:color="auto" w:fill="F2F2F2" w:themeFill="background1" w:themeFillShade="F2"/>
          </w:tcPr>
          <w:p w14:paraId="3F5736CD" w14:textId="7091FC3D" w:rsidR="00F1692A" w:rsidRPr="000A5314" w:rsidRDefault="00F1692A" w:rsidP="00EF1CA8">
            <w:pPr>
              <w:spacing w:line="240" w:lineRule="auto"/>
              <w:rPr>
                <w:b/>
              </w:rPr>
            </w:pPr>
            <w:r w:rsidRPr="000A5314">
              <w:rPr>
                <w:b/>
              </w:rPr>
              <w:t xml:space="preserve">Work </w:t>
            </w:r>
            <w:r w:rsidR="008D010F" w:rsidRPr="000A5314">
              <w:rPr>
                <w:b/>
              </w:rPr>
              <w:t>f</w:t>
            </w:r>
            <w:r w:rsidRPr="000A5314">
              <w:rPr>
                <w:b/>
              </w:rPr>
              <w:t>or Others</w:t>
            </w:r>
          </w:p>
        </w:tc>
      </w:tr>
      <w:tr w:rsidR="00F1692A" w:rsidRPr="006C3BE9" w14:paraId="19D95266" w14:textId="77777777" w:rsidTr="00EF1CA8">
        <w:trPr>
          <w:trHeight w:val="20"/>
          <w:jc w:val="center"/>
        </w:trPr>
        <w:tc>
          <w:tcPr>
            <w:tcW w:w="0" w:type="auto"/>
            <w:shd w:val="clear" w:color="auto" w:fill="F2F2F2" w:themeFill="background1" w:themeFillShade="F2"/>
          </w:tcPr>
          <w:p w14:paraId="5874CFCE" w14:textId="77777777" w:rsidR="00F1692A" w:rsidRPr="00035A83" w:rsidRDefault="00F1692A" w:rsidP="00EF1CA8">
            <w:pPr>
              <w:spacing w:line="240" w:lineRule="auto"/>
            </w:pPr>
            <w:r w:rsidRPr="00035A83">
              <w:t>Organization</w:t>
            </w:r>
          </w:p>
        </w:tc>
        <w:tc>
          <w:tcPr>
            <w:tcW w:w="0" w:type="auto"/>
            <w:shd w:val="clear" w:color="auto" w:fill="F2F2F2" w:themeFill="background1" w:themeFillShade="F2"/>
          </w:tcPr>
          <w:p w14:paraId="1454F21F" w14:textId="77777777" w:rsidR="00F1692A" w:rsidRPr="00035A83" w:rsidRDefault="00F1692A" w:rsidP="00EF1CA8">
            <w:pPr>
              <w:spacing w:line="240" w:lineRule="auto"/>
            </w:pPr>
            <w:r w:rsidRPr="00035A83">
              <w:t>Purpose</w:t>
            </w:r>
          </w:p>
        </w:tc>
      </w:tr>
      <w:tr w:rsidR="00F1692A" w:rsidRPr="006C3BE9" w14:paraId="1F1F59E5" w14:textId="77777777" w:rsidTr="00035A83">
        <w:trPr>
          <w:trHeight w:val="20"/>
          <w:jc w:val="center"/>
        </w:trPr>
        <w:tc>
          <w:tcPr>
            <w:tcW w:w="0" w:type="auto"/>
          </w:tcPr>
          <w:p w14:paraId="35FA25CE" w14:textId="7C323217" w:rsidR="00F1692A" w:rsidRPr="00035A83" w:rsidRDefault="00F1692A" w:rsidP="00EF1CA8">
            <w:pPr>
              <w:spacing w:line="240" w:lineRule="auto"/>
            </w:pPr>
            <w:r w:rsidRPr="00035A83">
              <w:t>MIT</w:t>
            </w:r>
          </w:p>
        </w:tc>
        <w:tc>
          <w:tcPr>
            <w:tcW w:w="0" w:type="auto"/>
          </w:tcPr>
          <w:p w14:paraId="58891CB6" w14:textId="045CEE64" w:rsidR="00F1692A" w:rsidRPr="00035A83" w:rsidRDefault="00F1692A" w:rsidP="00EF1CA8">
            <w:pPr>
              <w:spacing w:line="240" w:lineRule="auto"/>
            </w:pPr>
            <w:r w:rsidRPr="00035A83">
              <w:t>HERA site hosting and maintenance</w:t>
            </w:r>
          </w:p>
        </w:tc>
      </w:tr>
      <w:tr w:rsidR="00C81DBD" w:rsidRPr="006C3BE9" w14:paraId="44F84BAB" w14:textId="77777777" w:rsidTr="00035A83">
        <w:trPr>
          <w:trHeight w:val="20"/>
          <w:jc w:val="center"/>
        </w:trPr>
        <w:tc>
          <w:tcPr>
            <w:tcW w:w="0" w:type="auto"/>
          </w:tcPr>
          <w:p w14:paraId="3502FB3C" w14:textId="506FCD14" w:rsidR="00C81DBD" w:rsidRPr="00035A83" w:rsidRDefault="00C81DBD" w:rsidP="00EF1CA8">
            <w:pPr>
              <w:spacing w:line="240" w:lineRule="auto"/>
            </w:pPr>
            <w:r>
              <w:t>West Virginia University</w:t>
            </w:r>
          </w:p>
        </w:tc>
        <w:tc>
          <w:tcPr>
            <w:tcW w:w="0" w:type="auto"/>
          </w:tcPr>
          <w:p w14:paraId="4E6CF4CD" w14:textId="12AA4C37" w:rsidR="00C81DBD" w:rsidRPr="00035A83" w:rsidRDefault="00C81DBD" w:rsidP="00EF1CA8">
            <w:pPr>
              <w:spacing w:line="240" w:lineRule="auto"/>
            </w:pPr>
            <w:r>
              <w:t>Site hosting Chime Prototype Antenna</w:t>
            </w:r>
          </w:p>
        </w:tc>
      </w:tr>
      <w:tr w:rsidR="00C81DBD" w:rsidRPr="006C3BE9" w14:paraId="547A20AD" w14:textId="77777777" w:rsidTr="00035A83">
        <w:trPr>
          <w:trHeight w:val="20"/>
          <w:jc w:val="center"/>
        </w:trPr>
        <w:tc>
          <w:tcPr>
            <w:tcW w:w="0" w:type="auto"/>
          </w:tcPr>
          <w:p w14:paraId="587235E7" w14:textId="7328CD58" w:rsidR="00C81DBD" w:rsidRPr="00035A83" w:rsidRDefault="00C81DBD" w:rsidP="00EF1CA8">
            <w:pPr>
              <w:spacing w:line="240" w:lineRule="auto"/>
            </w:pPr>
            <w:r w:rsidRPr="004E1F84">
              <w:t>McGill University (CHIME)</w:t>
            </w:r>
          </w:p>
        </w:tc>
        <w:tc>
          <w:tcPr>
            <w:tcW w:w="0" w:type="auto"/>
          </w:tcPr>
          <w:p w14:paraId="308AB623" w14:textId="7F5A9C34" w:rsidR="00C81DBD" w:rsidRPr="00035A83" w:rsidRDefault="00C81DBD" w:rsidP="00EF1CA8">
            <w:pPr>
              <w:spacing w:line="240" w:lineRule="auto"/>
            </w:pPr>
            <w:r w:rsidRPr="004E1F84">
              <w:t>Site hosting CHIME Outrigger Antenna</w:t>
            </w:r>
          </w:p>
        </w:tc>
      </w:tr>
      <w:tr w:rsidR="00C81DBD" w:rsidRPr="006C3BE9" w14:paraId="23E1AADE" w14:textId="77777777" w:rsidTr="00035A83">
        <w:trPr>
          <w:trHeight w:val="20"/>
          <w:jc w:val="center"/>
        </w:trPr>
        <w:tc>
          <w:tcPr>
            <w:tcW w:w="0" w:type="auto"/>
          </w:tcPr>
          <w:p w14:paraId="485E6A08" w14:textId="12DD9C31" w:rsidR="00C81DBD" w:rsidRPr="004E1F84" w:rsidRDefault="00C81DBD" w:rsidP="00EF1CA8">
            <w:pPr>
              <w:spacing w:line="240" w:lineRule="auto"/>
            </w:pPr>
            <w:r>
              <w:t>University of Virginia</w:t>
            </w:r>
          </w:p>
        </w:tc>
        <w:tc>
          <w:tcPr>
            <w:tcW w:w="0" w:type="auto"/>
          </w:tcPr>
          <w:p w14:paraId="69169F14" w14:textId="6A248D43" w:rsidR="00C81DBD" w:rsidRPr="004E1F84" w:rsidRDefault="00C81DBD" w:rsidP="00EF1CA8">
            <w:pPr>
              <w:spacing w:line="240" w:lineRule="auto"/>
            </w:pPr>
            <w:r>
              <w:t>CTP antenna research site hosting</w:t>
            </w:r>
          </w:p>
        </w:tc>
      </w:tr>
    </w:tbl>
    <w:p w14:paraId="4A9FCC83" w14:textId="16337066" w:rsidR="006C3BE9" w:rsidRDefault="006C3BE9" w:rsidP="001812E3"/>
    <w:p w14:paraId="7383A6E5" w14:textId="50727BF6" w:rsidR="004D7908" w:rsidRPr="00EA444B" w:rsidRDefault="00D76802" w:rsidP="000E21B8">
      <w:r>
        <w:t>GBO</w:t>
      </w:r>
      <w:r w:rsidRPr="00EA444B">
        <w:t xml:space="preserve"> </w:t>
      </w:r>
      <w:r w:rsidR="004D7908" w:rsidRPr="00EA444B">
        <w:t xml:space="preserve">leadership continually explores opportunities to work with external organizations to develop technology and capabilities. Examples of past and existing WFO activities span major, mutually beneficial partnerships such as Breakthrough Listen, significant telescope time sales to University groups (e.g., MIT/Lincoln Labs), and international consulting agreements (e.g., FAST in China). When potential opportunities are identified, standard </w:t>
      </w:r>
      <w:r>
        <w:t>GBO</w:t>
      </w:r>
      <w:r w:rsidRPr="00EA444B">
        <w:t xml:space="preserve"> </w:t>
      </w:r>
      <w:r w:rsidR="004D7908" w:rsidRPr="00EA444B">
        <w:t>PMD processes are followed to assess and document the scope and impact. AUI Contracts and Procurement processes are also followed to ensure that NSF is notified and/or approves as appropriate.</w:t>
      </w:r>
    </w:p>
    <w:p w14:paraId="636BEE0F" w14:textId="3D2FAF08" w:rsidR="00985B8B" w:rsidRPr="00EA444B" w:rsidRDefault="004D7908" w:rsidP="000E21B8">
      <w:r w:rsidRPr="00EA444B">
        <w:t>Proceeds from WFO and sale of telescope time are critical to establishing a balanced budget.</w:t>
      </w:r>
    </w:p>
    <w:p w14:paraId="556C9B07" w14:textId="77777777" w:rsidR="00985B8B" w:rsidRPr="00EA444B" w:rsidRDefault="00985B8B" w:rsidP="001812E3"/>
    <w:p w14:paraId="51B5F739" w14:textId="0991BFC7" w:rsidR="00880C7A" w:rsidRPr="00EA444B" w:rsidRDefault="00880C7A">
      <w:bookmarkStart w:id="791" w:name="_Toc2091451"/>
      <w:bookmarkStart w:id="792" w:name="_Toc2326179"/>
      <w:bookmarkEnd w:id="791"/>
      <w:bookmarkEnd w:id="792"/>
      <w:r w:rsidRPr="00EA444B">
        <w:br w:type="page"/>
      </w:r>
    </w:p>
    <w:p w14:paraId="51920805" w14:textId="261979D2" w:rsidR="00CD3514" w:rsidRDefault="003724C5" w:rsidP="00BE3952">
      <w:pPr>
        <w:pStyle w:val="Heading1"/>
      </w:pPr>
      <w:bookmarkStart w:id="793" w:name="_Toc297291467"/>
      <w:bookmarkStart w:id="794" w:name="_Toc297290960"/>
      <w:bookmarkStart w:id="795" w:name="_Toc297290485"/>
      <w:bookmarkStart w:id="796" w:name="_Toc297290010"/>
      <w:bookmarkStart w:id="797" w:name="_Toc297289877"/>
      <w:bookmarkStart w:id="798" w:name="_Toc297289781"/>
      <w:bookmarkStart w:id="799" w:name="_Toc1052173"/>
      <w:bookmarkStart w:id="800" w:name="_Toc1140195"/>
      <w:bookmarkStart w:id="801" w:name="_Toc1052174"/>
      <w:bookmarkStart w:id="802" w:name="_Toc1140196"/>
      <w:bookmarkStart w:id="803" w:name="_Toc1052175"/>
      <w:bookmarkStart w:id="804" w:name="_Toc1140197"/>
      <w:bookmarkStart w:id="805" w:name="_Toc2091454"/>
      <w:bookmarkStart w:id="806" w:name="_Toc2326182"/>
      <w:bookmarkStart w:id="807" w:name="_Toc2091456"/>
      <w:bookmarkStart w:id="808" w:name="_Toc2326184"/>
      <w:bookmarkStart w:id="809" w:name="_Toc535925893"/>
      <w:bookmarkStart w:id="810" w:name="_Toc535931535"/>
      <w:bookmarkStart w:id="811" w:name="_Toc535932457"/>
      <w:bookmarkStart w:id="812" w:name="_Toc535932756"/>
      <w:bookmarkStart w:id="813" w:name="_Toc535936193"/>
      <w:bookmarkStart w:id="814" w:name="_Toc535936359"/>
      <w:bookmarkStart w:id="815" w:name="_Toc535936456"/>
      <w:bookmarkStart w:id="816" w:name="_Toc535936622"/>
      <w:bookmarkStart w:id="817" w:name="_Toc536007182"/>
      <w:bookmarkStart w:id="818" w:name="_Toc536007572"/>
      <w:bookmarkStart w:id="819" w:name="_Toc536007962"/>
      <w:bookmarkStart w:id="820" w:name="_Toc535924771"/>
      <w:bookmarkStart w:id="821" w:name="_Toc535924927"/>
      <w:bookmarkStart w:id="822" w:name="_Toc535925894"/>
      <w:bookmarkStart w:id="823" w:name="_Toc535931536"/>
      <w:bookmarkStart w:id="824" w:name="_Toc535932458"/>
      <w:bookmarkStart w:id="825" w:name="_Toc535932757"/>
      <w:bookmarkStart w:id="826" w:name="_Toc535936194"/>
      <w:bookmarkStart w:id="827" w:name="_Toc535936360"/>
      <w:bookmarkStart w:id="828" w:name="_Toc535936457"/>
      <w:bookmarkStart w:id="829" w:name="_Toc535936623"/>
      <w:bookmarkStart w:id="830" w:name="_Toc536007183"/>
      <w:bookmarkStart w:id="831" w:name="_Toc536007573"/>
      <w:bookmarkStart w:id="832" w:name="_Toc536007963"/>
      <w:bookmarkStart w:id="833" w:name="_Toc502314358"/>
      <w:bookmarkStart w:id="834" w:name="_Toc502314591"/>
      <w:bookmarkStart w:id="835" w:name="_Toc2091459"/>
      <w:bookmarkStart w:id="836" w:name="_Toc2326187"/>
      <w:bookmarkStart w:id="837" w:name="_Toc2091505"/>
      <w:bookmarkStart w:id="838" w:name="_Toc2326233"/>
      <w:bookmarkStart w:id="839" w:name="_Toc2091507"/>
      <w:bookmarkStart w:id="840" w:name="_Toc2326235"/>
      <w:bookmarkStart w:id="841" w:name="_Toc502314366"/>
      <w:bookmarkStart w:id="842" w:name="_Toc502314599"/>
      <w:bookmarkStart w:id="843" w:name="_Toc502314368"/>
      <w:bookmarkStart w:id="844" w:name="_Toc502314601"/>
      <w:bookmarkStart w:id="845" w:name="_Toc536007193"/>
      <w:bookmarkStart w:id="846" w:name="_Toc536007583"/>
      <w:bookmarkStart w:id="847" w:name="_Toc536007973"/>
      <w:bookmarkStart w:id="848" w:name="_Toc536007194"/>
      <w:bookmarkStart w:id="849" w:name="_Toc536007584"/>
      <w:bookmarkStart w:id="850" w:name="_Toc536007974"/>
      <w:bookmarkStart w:id="851" w:name="_Toc536007198"/>
      <w:bookmarkStart w:id="852" w:name="_Toc536007588"/>
      <w:bookmarkStart w:id="853" w:name="_Toc536007978"/>
      <w:bookmarkStart w:id="854" w:name="_Toc536007199"/>
      <w:bookmarkStart w:id="855" w:name="_Toc536007589"/>
      <w:bookmarkStart w:id="856" w:name="_Toc536007979"/>
      <w:bookmarkStart w:id="857" w:name="_Toc536007207"/>
      <w:bookmarkStart w:id="858" w:name="_Toc536007597"/>
      <w:bookmarkStart w:id="859" w:name="_Toc536007987"/>
      <w:bookmarkStart w:id="860" w:name="_Toc536007208"/>
      <w:bookmarkStart w:id="861" w:name="_Toc536007598"/>
      <w:bookmarkStart w:id="862" w:name="_Toc536007988"/>
      <w:bookmarkStart w:id="863" w:name="_Toc536007250"/>
      <w:bookmarkStart w:id="864" w:name="_Toc536007640"/>
      <w:bookmarkStart w:id="865" w:name="_Toc536008030"/>
      <w:bookmarkStart w:id="866" w:name="_Toc536007251"/>
      <w:bookmarkStart w:id="867" w:name="_Toc536007641"/>
      <w:bookmarkStart w:id="868" w:name="_Toc536008031"/>
      <w:bookmarkStart w:id="869" w:name="_Toc536007300"/>
      <w:bookmarkStart w:id="870" w:name="_Toc536007690"/>
      <w:bookmarkStart w:id="871" w:name="_Toc536008080"/>
      <w:bookmarkStart w:id="872" w:name="_Toc536007301"/>
      <w:bookmarkStart w:id="873" w:name="_Toc536007691"/>
      <w:bookmarkStart w:id="874" w:name="_Toc536008081"/>
      <w:bookmarkStart w:id="875" w:name="_Toc536007304"/>
      <w:bookmarkStart w:id="876" w:name="_Toc536007694"/>
      <w:bookmarkStart w:id="877" w:name="_Toc536008084"/>
      <w:bookmarkStart w:id="878" w:name="_Toc536007306"/>
      <w:bookmarkStart w:id="879" w:name="_Toc536007696"/>
      <w:bookmarkStart w:id="880" w:name="_Toc536008086"/>
      <w:bookmarkStart w:id="881" w:name="_Toc536007307"/>
      <w:bookmarkStart w:id="882" w:name="_Toc536007697"/>
      <w:bookmarkStart w:id="883" w:name="_Toc536008087"/>
      <w:bookmarkStart w:id="884" w:name="_Toc536007308"/>
      <w:bookmarkStart w:id="885" w:name="_Toc536007698"/>
      <w:bookmarkStart w:id="886" w:name="_Toc536008088"/>
      <w:bookmarkStart w:id="887" w:name="_Toc536007321"/>
      <w:bookmarkStart w:id="888" w:name="_Toc536007711"/>
      <w:bookmarkStart w:id="889" w:name="_Toc536008101"/>
      <w:bookmarkStart w:id="890" w:name="_Toc536007325"/>
      <w:bookmarkStart w:id="891" w:name="_Toc536007715"/>
      <w:bookmarkStart w:id="892" w:name="_Toc536008105"/>
      <w:bookmarkStart w:id="893" w:name="_Toc536007368"/>
      <w:bookmarkStart w:id="894" w:name="_Toc536007758"/>
      <w:bookmarkStart w:id="895" w:name="_Toc536008148"/>
      <w:bookmarkStart w:id="896" w:name="_Toc536007374"/>
      <w:bookmarkStart w:id="897" w:name="_Toc536007764"/>
      <w:bookmarkStart w:id="898" w:name="_Toc536008154"/>
      <w:bookmarkStart w:id="899" w:name="_Toc536007375"/>
      <w:bookmarkStart w:id="900" w:name="_Toc536007765"/>
      <w:bookmarkStart w:id="901" w:name="_Toc536008155"/>
      <w:bookmarkStart w:id="902" w:name="_Toc536007376"/>
      <w:bookmarkStart w:id="903" w:name="_Toc536007766"/>
      <w:bookmarkStart w:id="904" w:name="_Toc536008156"/>
      <w:bookmarkStart w:id="905" w:name="_Toc536007377"/>
      <w:bookmarkStart w:id="906" w:name="_Toc536007767"/>
      <w:bookmarkStart w:id="907" w:name="_Toc536008157"/>
      <w:bookmarkStart w:id="908" w:name="_Toc536007378"/>
      <w:bookmarkStart w:id="909" w:name="_Toc536007768"/>
      <w:bookmarkStart w:id="910" w:name="_Toc536008158"/>
      <w:bookmarkStart w:id="911" w:name="_Toc536007379"/>
      <w:bookmarkStart w:id="912" w:name="_Toc536007769"/>
      <w:bookmarkStart w:id="913" w:name="_Toc536008159"/>
      <w:bookmarkStart w:id="914" w:name="_Toc536007386"/>
      <w:bookmarkStart w:id="915" w:name="_Toc536007776"/>
      <w:bookmarkStart w:id="916" w:name="_Toc536008166"/>
      <w:bookmarkStart w:id="917" w:name="_Toc536007387"/>
      <w:bookmarkStart w:id="918" w:name="_Toc536007777"/>
      <w:bookmarkStart w:id="919" w:name="_Toc536008167"/>
      <w:bookmarkStart w:id="920" w:name="_Toc536007388"/>
      <w:bookmarkStart w:id="921" w:name="_Toc536007778"/>
      <w:bookmarkStart w:id="922" w:name="_Toc536008168"/>
      <w:bookmarkStart w:id="923" w:name="_Toc536007389"/>
      <w:bookmarkStart w:id="924" w:name="_Toc536007779"/>
      <w:bookmarkStart w:id="925" w:name="_Toc536008169"/>
      <w:bookmarkStart w:id="926" w:name="_Toc536007416"/>
      <w:bookmarkStart w:id="927" w:name="_Toc536007806"/>
      <w:bookmarkStart w:id="928" w:name="_Toc536008196"/>
      <w:bookmarkStart w:id="929" w:name="_Toc536007417"/>
      <w:bookmarkStart w:id="930" w:name="_Toc536007807"/>
      <w:bookmarkStart w:id="931" w:name="_Toc536008197"/>
      <w:bookmarkStart w:id="932" w:name="_Toc535936468"/>
      <w:bookmarkStart w:id="933" w:name="_Toc639312"/>
      <w:bookmarkStart w:id="934" w:name="_Toc639455"/>
      <w:bookmarkStart w:id="935" w:name="_Toc788107"/>
      <w:bookmarkStart w:id="936" w:name="_Toc337198"/>
      <w:bookmarkStart w:id="937" w:name="_Toc498691920"/>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r>
        <w:lastRenderedPageBreak/>
        <w:t xml:space="preserve"> </w:t>
      </w:r>
      <w:bookmarkStart w:id="938" w:name="_Toc83886169"/>
      <w:r w:rsidR="00CD3514" w:rsidRPr="00EA444B">
        <w:t>B</w:t>
      </w:r>
      <w:r w:rsidR="006B4DF0" w:rsidRPr="00EA444B">
        <w:t>UDGET</w:t>
      </w:r>
      <w:bookmarkEnd w:id="936"/>
      <w:bookmarkEnd w:id="938"/>
    </w:p>
    <w:p w14:paraId="5CEB3217" w14:textId="6F47319F" w:rsidR="00971A7A" w:rsidRDefault="00971A7A" w:rsidP="00971A7A">
      <w:r w:rsidRPr="00971A7A">
        <w:t>The budget for Green Bank Observatory operations for FY2022 totals $15,687,234 inclusive of indirect costs of which $9,120,000 will be supported by NSF.</w:t>
      </w:r>
    </w:p>
    <w:p w14:paraId="4ED30EED" w14:textId="77777777" w:rsidR="00971A7A" w:rsidRPr="00971A7A" w:rsidRDefault="00971A7A" w:rsidP="00971A7A">
      <w:pPr>
        <w:autoSpaceDE w:val="0"/>
        <w:autoSpaceDN w:val="0"/>
        <w:adjustRightInd w:val="0"/>
        <w:spacing w:after="0" w:line="240" w:lineRule="auto"/>
        <w:jc w:val="left"/>
        <w:rPr>
          <w:rFonts w:ascii="CIDFont+F7" w:eastAsia="Calibri" w:hAnsi="CIDFont+F7" w:cs="CIDFont+F7"/>
        </w:rPr>
      </w:pPr>
    </w:p>
    <w:tbl>
      <w:tblPr>
        <w:tblW w:w="9665" w:type="dxa"/>
        <w:tblInd w:w="-275" w:type="dxa"/>
        <w:tblLook w:val="04A0" w:firstRow="1" w:lastRow="0" w:firstColumn="1" w:lastColumn="0" w:noHBand="0" w:noVBand="1"/>
      </w:tblPr>
      <w:tblGrid>
        <w:gridCol w:w="2520"/>
        <w:gridCol w:w="903"/>
        <w:gridCol w:w="113"/>
        <w:gridCol w:w="1053"/>
        <w:gridCol w:w="179"/>
        <w:gridCol w:w="264"/>
        <w:gridCol w:w="155"/>
        <w:gridCol w:w="224"/>
        <w:gridCol w:w="447"/>
        <w:gridCol w:w="180"/>
        <w:gridCol w:w="267"/>
        <w:gridCol w:w="93"/>
        <w:gridCol w:w="190"/>
        <w:gridCol w:w="299"/>
        <w:gridCol w:w="387"/>
        <w:gridCol w:w="45"/>
        <w:gridCol w:w="179"/>
        <w:gridCol w:w="279"/>
        <w:gridCol w:w="118"/>
        <w:gridCol w:w="72"/>
        <w:gridCol w:w="98"/>
        <w:gridCol w:w="495"/>
        <w:gridCol w:w="874"/>
        <w:gridCol w:w="101"/>
        <w:gridCol w:w="130"/>
      </w:tblGrid>
      <w:tr w:rsidR="00971A7A" w:rsidRPr="00971A7A" w14:paraId="0B51B92A"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000000" w:fill="2F75B5"/>
            <w:noWrap/>
            <w:vAlign w:val="bottom"/>
            <w:hideMark/>
          </w:tcPr>
          <w:p w14:paraId="11F067F4" w14:textId="77777777" w:rsidR="00971A7A" w:rsidRPr="00971A7A" w:rsidRDefault="00971A7A" w:rsidP="00971A7A">
            <w:pPr>
              <w:spacing w:after="0" w:line="240" w:lineRule="auto"/>
              <w:jc w:val="left"/>
              <w:rPr>
                <w:rFonts w:ascii="Calibri" w:eastAsia="Times New Roman" w:hAnsi="Calibri" w:cs="Calibri"/>
                <w:b/>
                <w:bCs/>
                <w:color w:val="FFFFFF"/>
                <w:sz w:val="24"/>
                <w:szCs w:val="24"/>
              </w:rPr>
            </w:pPr>
            <w:r w:rsidRPr="00971A7A">
              <w:rPr>
                <w:rFonts w:ascii="Calibri" w:eastAsia="Times New Roman" w:hAnsi="Calibri" w:cs="Calibri"/>
                <w:b/>
                <w:bCs/>
                <w:color w:val="FFFFFF"/>
                <w:sz w:val="24"/>
                <w:szCs w:val="24"/>
              </w:rPr>
              <w:t>Funding</w:t>
            </w:r>
          </w:p>
        </w:tc>
        <w:tc>
          <w:tcPr>
            <w:tcW w:w="2248" w:type="dxa"/>
            <w:gridSpan w:val="4"/>
            <w:tcBorders>
              <w:top w:val="single" w:sz="4" w:space="0" w:color="auto"/>
              <w:left w:val="nil"/>
              <w:bottom w:val="nil"/>
              <w:right w:val="nil"/>
            </w:tcBorders>
            <w:shd w:val="clear" w:color="000000" w:fill="2F75B5"/>
            <w:noWrap/>
            <w:vAlign w:val="bottom"/>
            <w:hideMark/>
          </w:tcPr>
          <w:p w14:paraId="4ED0A48D" w14:textId="77777777" w:rsidR="00971A7A" w:rsidRPr="00971A7A" w:rsidRDefault="00971A7A" w:rsidP="00971A7A">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CSA-G</w:t>
            </w:r>
          </w:p>
        </w:tc>
        <w:tc>
          <w:tcPr>
            <w:tcW w:w="1630" w:type="dxa"/>
            <w:gridSpan w:val="7"/>
            <w:tcBorders>
              <w:top w:val="single" w:sz="4" w:space="0" w:color="auto"/>
              <w:left w:val="nil"/>
              <w:bottom w:val="nil"/>
              <w:right w:val="nil"/>
            </w:tcBorders>
            <w:shd w:val="clear" w:color="000000" w:fill="2F75B5"/>
            <w:noWrap/>
            <w:vAlign w:val="bottom"/>
            <w:hideMark/>
          </w:tcPr>
          <w:p w14:paraId="354595CE" w14:textId="77777777" w:rsidR="00971A7A" w:rsidRPr="00971A7A" w:rsidRDefault="00971A7A" w:rsidP="00971A7A">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WFO</w:t>
            </w:r>
          </w:p>
        </w:tc>
        <w:tc>
          <w:tcPr>
            <w:tcW w:w="1497" w:type="dxa"/>
            <w:gridSpan w:val="7"/>
            <w:tcBorders>
              <w:top w:val="single" w:sz="4" w:space="0" w:color="auto"/>
              <w:left w:val="nil"/>
              <w:bottom w:val="nil"/>
              <w:right w:val="nil"/>
            </w:tcBorders>
            <w:shd w:val="clear" w:color="000000" w:fill="2F75B5"/>
            <w:noWrap/>
            <w:vAlign w:val="bottom"/>
            <w:hideMark/>
          </w:tcPr>
          <w:p w14:paraId="4990DED8" w14:textId="77777777" w:rsidR="00971A7A" w:rsidRPr="00971A7A" w:rsidRDefault="00971A7A" w:rsidP="00971A7A">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GBO ICC</w:t>
            </w:r>
          </w:p>
        </w:tc>
        <w:tc>
          <w:tcPr>
            <w:tcW w:w="1640" w:type="dxa"/>
            <w:gridSpan w:val="5"/>
            <w:tcBorders>
              <w:top w:val="single" w:sz="4" w:space="0" w:color="auto"/>
              <w:left w:val="nil"/>
              <w:bottom w:val="nil"/>
              <w:right w:val="single" w:sz="4" w:space="0" w:color="auto"/>
            </w:tcBorders>
            <w:shd w:val="clear" w:color="000000" w:fill="2F75B5"/>
            <w:noWrap/>
            <w:vAlign w:val="bottom"/>
            <w:hideMark/>
          </w:tcPr>
          <w:p w14:paraId="55C1EA98" w14:textId="77777777" w:rsidR="00971A7A" w:rsidRPr="00971A7A" w:rsidRDefault="00971A7A" w:rsidP="00971A7A">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TOTAL</w:t>
            </w:r>
          </w:p>
        </w:tc>
      </w:tr>
      <w:tr w:rsidR="00971A7A" w:rsidRPr="00971A7A" w14:paraId="1AFC9247"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593941F8" w14:textId="77777777" w:rsidR="00971A7A" w:rsidRPr="00971A7A" w:rsidRDefault="00971A7A" w:rsidP="00971A7A">
            <w:pPr>
              <w:spacing w:after="0" w:line="240" w:lineRule="auto"/>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NSF Allocations</w:t>
            </w:r>
          </w:p>
        </w:tc>
        <w:tc>
          <w:tcPr>
            <w:tcW w:w="2248" w:type="dxa"/>
            <w:gridSpan w:val="4"/>
            <w:tcBorders>
              <w:top w:val="nil"/>
              <w:left w:val="nil"/>
              <w:bottom w:val="nil"/>
              <w:right w:val="nil"/>
            </w:tcBorders>
            <w:shd w:val="clear" w:color="auto" w:fill="auto"/>
            <w:noWrap/>
            <w:vAlign w:val="bottom"/>
            <w:hideMark/>
          </w:tcPr>
          <w:p w14:paraId="04A4AC67" w14:textId="77777777" w:rsidR="00971A7A" w:rsidRPr="00971A7A" w:rsidRDefault="00971A7A" w:rsidP="00971A7A">
            <w:pPr>
              <w:spacing w:after="0" w:line="240" w:lineRule="auto"/>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                         9,120,000 </w:t>
            </w:r>
          </w:p>
        </w:tc>
        <w:tc>
          <w:tcPr>
            <w:tcW w:w="1630" w:type="dxa"/>
            <w:gridSpan w:val="7"/>
            <w:tcBorders>
              <w:top w:val="nil"/>
              <w:left w:val="nil"/>
              <w:bottom w:val="nil"/>
              <w:right w:val="nil"/>
            </w:tcBorders>
            <w:shd w:val="clear" w:color="auto" w:fill="auto"/>
            <w:noWrap/>
            <w:vAlign w:val="bottom"/>
            <w:hideMark/>
          </w:tcPr>
          <w:p w14:paraId="3C768EB6" w14:textId="77777777" w:rsidR="00971A7A" w:rsidRPr="00971A7A" w:rsidRDefault="00971A7A" w:rsidP="00971A7A">
            <w:pPr>
              <w:spacing w:after="0" w:line="240" w:lineRule="auto"/>
              <w:jc w:val="left"/>
              <w:rPr>
                <w:rFonts w:ascii="Calibri" w:eastAsia="Times New Roman" w:hAnsi="Calibri" w:cs="Calibri"/>
                <w:color w:val="000000"/>
                <w:sz w:val="16"/>
                <w:szCs w:val="16"/>
              </w:rPr>
            </w:pPr>
          </w:p>
        </w:tc>
        <w:tc>
          <w:tcPr>
            <w:tcW w:w="1497" w:type="dxa"/>
            <w:gridSpan w:val="7"/>
            <w:tcBorders>
              <w:top w:val="nil"/>
              <w:left w:val="nil"/>
              <w:bottom w:val="nil"/>
              <w:right w:val="nil"/>
            </w:tcBorders>
            <w:shd w:val="clear" w:color="auto" w:fill="auto"/>
            <w:noWrap/>
            <w:vAlign w:val="bottom"/>
            <w:hideMark/>
          </w:tcPr>
          <w:p w14:paraId="2B4DA4CD"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640" w:type="dxa"/>
            <w:gridSpan w:val="5"/>
            <w:tcBorders>
              <w:top w:val="nil"/>
              <w:left w:val="nil"/>
              <w:bottom w:val="nil"/>
              <w:right w:val="single" w:sz="4" w:space="0" w:color="auto"/>
            </w:tcBorders>
            <w:shd w:val="clear" w:color="auto" w:fill="auto"/>
            <w:noWrap/>
            <w:vAlign w:val="bottom"/>
            <w:hideMark/>
          </w:tcPr>
          <w:p w14:paraId="5CB8074A" w14:textId="026446BE" w:rsidR="00971A7A" w:rsidRPr="00971A7A" w:rsidRDefault="00C75E7A" w:rsidP="00971A7A">
            <w:pPr>
              <w:spacing w:after="0" w:line="240" w:lineRule="auto"/>
              <w:jc w:val="left"/>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00971A7A" w:rsidRPr="00971A7A">
              <w:rPr>
                <w:rFonts w:ascii="Calibri" w:eastAsia="Times New Roman" w:hAnsi="Calibri" w:cs="Calibri"/>
                <w:color w:val="000000"/>
                <w:sz w:val="16"/>
                <w:szCs w:val="16"/>
              </w:rPr>
              <w:t xml:space="preserve">9,120,000 </w:t>
            </w:r>
          </w:p>
        </w:tc>
      </w:tr>
      <w:tr w:rsidR="00971A7A" w:rsidRPr="00971A7A" w14:paraId="60F6D419"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668472F3" w14:textId="77777777" w:rsidR="00971A7A" w:rsidRPr="00971A7A" w:rsidRDefault="00971A7A" w:rsidP="00971A7A">
            <w:pPr>
              <w:spacing w:after="0" w:line="240" w:lineRule="auto"/>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Carry-Over</w:t>
            </w:r>
          </w:p>
        </w:tc>
        <w:tc>
          <w:tcPr>
            <w:tcW w:w="2248" w:type="dxa"/>
            <w:gridSpan w:val="4"/>
            <w:tcBorders>
              <w:top w:val="nil"/>
              <w:left w:val="nil"/>
              <w:bottom w:val="nil"/>
              <w:right w:val="nil"/>
            </w:tcBorders>
            <w:shd w:val="clear" w:color="auto" w:fill="auto"/>
            <w:noWrap/>
            <w:vAlign w:val="bottom"/>
            <w:hideMark/>
          </w:tcPr>
          <w:p w14:paraId="023AC739" w14:textId="77777777" w:rsidR="00971A7A" w:rsidRPr="00971A7A" w:rsidRDefault="00971A7A" w:rsidP="00971A7A">
            <w:pPr>
              <w:spacing w:after="0" w:line="240" w:lineRule="auto"/>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                         1,075,631 </w:t>
            </w:r>
          </w:p>
        </w:tc>
        <w:tc>
          <w:tcPr>
            <w:tcW w:w="1630" w:type="dxa"/>
            <w:gridSpan w:val="7"/>
            <w:tcBorders>
              <w:top w:val="nil"/>
              <w:left w:val="nil"/>
              <w:bottom w:val="nil"/>
              <w:right w:val="nil"/>
            </w:tcBorders>
            <w:shd w:val="clear" w:color="auto" w:fill="auto"/>
            <w:noWrap/>
            <w:vAlign w:val="bottom"/>
            <w:hideMark/>
          </w:tcPr>
          <w:p w14:paraId="23F97B40" w14:textId="77777777" w:rsidR="00971A7A" w:rsidRPr="00971A7A" w:rsidRDefault="00971A7A" w:rsidP="00971A7A">
            <w:pPr>
              <w:spacing w:after="0" w:line="240" w:lineRule="auto"/>
              <w:jc w:val="left"/>
              <w:rPr>
                <w:rFonts w:ascii="Calibri" w:eastAsia="Times New Roman" w:hAnsi="Calibri" w:cs="Calibri"/>
                <w:color w:val="000000"/>
                <w:sz w:val="16"/>
                <w:szCs w:val="16"/>
              </w:rPr>
            </w:pPr>
          </w:p>
        </w:tc>
        <w:tc>
          <w:tcPr>
            <w:tcW w:w="1497" w:type="dxa"/>
            <w:gridSpan w:val="7"/>
            <w:tcBorders>
              <w:top w:val="nil"/>
              <w:left w:val="nil"/>
              <w:bottom w:val="nil"/>
              <w:right w:val="nil"/>
            </w:tcBorders>
            <w:shd w:val="clear" w:color="auto" w:fill="auto"/>
            <w:noWrap/>
            <w:vAlign w:val="bottom"/>
            <w:hideMark/>
          </w:tcPr>
          <w:p w14:paraId="34F9F9CE"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640" w:type="dxa"/>
            <w:gridSpan w:val="5"/>
            <w:tcBorders>
              <w:top w:val="nil"/>
              <w:left w:val="nil"/>
              <w:bottom w:val="nil"/>
              <w:right w:val="single" w:sz="4" w:space="0" w:color="auto"/>
            </w:tcBorders>
            <w:shd w:val="clear" w:color="auto" w:fill="auto"/>
            <w:noWrap/>
            <w:vAlign w:val="bottom"/>
            <w:hideMark/>
          </w:tcPr>
          <w:p w14:paraId="74F11D1D" w14:textId="58E91F58" w:rsidR="00971A7A" w:rsidRPr="00971A7A" w:rsidRDefault="00C75E7A" w:rsidP="00971A7A">
            <w:pPr>
              <w:spacing w:after="0" w:line="240" w:lineRule="auto"/>
              <w:jc w:val="left"/>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00971A7A" w:rsidRPr="00971A7A">
              <w:rPr>
                <w:rFonts w:ascii="Calibri" w:eastAsia="Times New Roman" w:hAnsi="Calibri" w:cs="Calibri"/>
                <w:color w:val="000000"/>
                <w:sz w:val="16"/>
                <w:szCs w:val="16"/>
              </w:rPr>
              <w:t xml:space="preserve">1,075,631 </w:t>
            </w:r>
          </w:p>
        </w:tc>
      </w:tr>
      <w:tr w:rsidR="00971A7A" w:rsidRPr="00971A7A" w14:paraId="5475B463"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7833B8F1" w14:textId="77777777" w:rsidR="00971A7A" w:rsidRPr="00971A7A" w:rsidRDefault="00971A7A" w:rsidP="00971A7A">
            <w:pPr>
              <w:spacing w:after="0" w:line="240" w:lineRule="auto"/>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Telescope Time Sales</w:t>
            </w:r>
          </w:p>
        </w:tc>
        <w:tc>
          <w:tcPr>
            <w:tcW w:w="2248" w:type="dxa"/>
            <w:gridSpan w:val="4"/>
            <w:tcBorders>
              <w:top w:val="nil"/>
              <w:left w:val="nil"/>
              <w:bottom w:val="nil"/>
              <w:right w:val="nil"/>
            </w:tcBorders>
            <w:shd w:val="clear" w:color="auto" w:fill="auto"/>
            <w:noWrap/>
            <w:vAlign w:val="bottom"/>
            <w:hideMark/>
          </w:tcPr>
          <w:p w14:paraId="734AEB09" w14:textId="77777777" w:rsidR="00971A7A" w:rsidRPr="00971A7A" w:rsidRDefault="00971A7A" w:rsidP="00971A7A">
            <w:pPr>
              <w:spacing w:after="0" w:line="240" w:lineRule="auto"/>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                         3,448,163 </w:t>
            </w:r>
          </w:p>
        </w:tc>
        <w:tc>
          <w:tcPr>
            <w:tcW w:w="1630" w:type="dxa"/>
            <w:gridSpan w:val="7"/>
            <w:tcBorders>
              <w:top w:val="nil"/>
              <w:left w:val="nil"/>
              <w:bottom w:val="nil"/>
              <w:right w:val="nil"/>
            </w:tcBorders>
            <w:shd w:val="clear" w:color="auto" w:fill="auto"/>
            <w:noWrap/>
            <w:vAlign w:val="bottom"/>
            <w:hideMark/>
          </w:tcPr>
          <w:p w14:paraId="1C27B148" w14:textId="77777777" w:rsidR="00971A7A" w:rsidRPr="00971A7A" w:rsidRDefault="00971A7A" w:rsidP="00971A7A">
            <w:pPr>
              <w:spacing w:after="0" w:line="240" w:lineRule="auto"/>
              <w:jc w:val="left"/>
              <w:rPr>
                <w:rFonts w:ascii="Calibri" w:eastAsia="Times New Roman" w:hAnsi="Calibri" w:cs="Calibri"/>
                <w:color w:val="000000"/>
                <w:sz w:val="16"/>
                <w:szCs w:val="16"/>
              </w:rPr>
            </w:pPr>
          </w:p>
        </w:tc>
        <w:tc>
          <w:tcPr>
            <w:tcW w:w="1497" w:type="dxa"/>
            <w:gridSpan w:val="7"/>
            <w:tcBorders>
              <w:top w:val="nil"/>
              <w:left w:val="nil"/>
              <w:bottom w:val="nil"/>
              <w:right w:val="nil"/>
            </w:tcBorders>
            <w:shd w:val="clear" w:color="auto" w:fill="auto"/>
            <w:noWrap/>
            <w:vAlign w:val="bottom"/>
            <w:hideMark/>
          </w:tcPr>
          <w:p w14:paraId="39C8D81F"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640" w:type="dxa"/>
            <w:gridSpan w:val="5"/>
            <w:tcBorders>
              <w:top w:val="nil"/>
              <w:left w:val="nil"/>
              <w:bottom w:val="nil"/>
              <w:right w:val="single" w:sz="4" w:space="0" w:color="auto"/>
            </w:tcBorders>
            <w:shd w:val="clear" w:color="auto" w:fill="auto"/>
            <w:noWrap/>
            <w:vAlign w:val="bottom"/>
            <w:hideMark/>
          </w:tcPr>
          <w:p w14:paraId="6917E33E" w14:textId="1DC63B99" w:rsidR="00971A7A" w:rsidRPr="00971A7A" w:rsidRDefault="00C75E7A" w:rsidP="00971A7A">
            <w:pPr>
              <w:spacing w:after="0" w:line="240" w:lineRule="auto"/>
              <w:jc w:val="left"/>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00971A7A" w:rsidRPr="00971A7A">
              <w:rPr>
                <w:rFonts w:ascii="Calibri" w:eastAsia="Times New Roman" w:hAnsi="Calibri" w:cs="Calibri"/>
                <w:color w:val="000000"/>
                <w:sz w:val="16"/>
                <w:szCs w:val="16"/>
              </w:rPr>
              <w:t xml:space="preserve">3,448,163 </w:t>
            </w:r>
          </w:p>
        </w:tc>
      </w:tr>
      <w:tr w:rsidR="00971A7A" w:rsidRPr="00971A7A" w14:paraId="61EE77EA"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42962543" w14:textId="77777777" w:rsidR="00971A7A" w:rsidRPr="00971A7A" w:rsidRDefault="00971A7A" w:rsidP="00971A7A">
            <w:pPr>
              <w:spacing w:after="0" w:line="240" w:lineRule="auto"/>
              <w:jc w:val="left"/>
              <w:rPr>
                <w:rFonts w:ascii="Calibri" w:eastAsia="Times New Roman" w:hAnsi="Calibri" w:cs="Calibri"/>
                <w:color w:val="000000"/>
                <w:sz w:val="16"/>
                <w:szCs w:val="16"/>
              </w:rPr>
            </w:pPr>
            <w:proofErr w:type="gramStart"/>
            <w:r w:rsidRPr="00971A7A">
              <w:rPr>
                <w:rFonts w:ascii="Calibri" w:eastAsia="Times New Roman" w:hAnsi="Calibri" w:cs="Calibri"/>
                <w:color w:val="000000"/>
                <w:sz w:val="16"/>
                <w:szCs w:val="16"/>
              </w:rPr>
              <w:t>Other</w:t>
            </w:r>
            <w:proofErr w:type="gramEnd"/>
            <w:r w:rsidRPr="00971A7A">
              <w:rPr>
                <w:rFonts w:ascii="Calibri" w:eastAsia="Times New Roman" w:hAnsi="Calibri" w:cs="Calibri"/>
                <w:color w:val="000000"/>
                <w:sz w:val="16"/>
                <w:szCs w:val="16"/>
              </w:rPr>
              <w:t xml:space="preserve"> Program Income</w:t>
            </w:r>
          </w:p>
        </w:tc>
        <w:tc>
          <w:tcPr>
            <w:tcW w:w="2248" w:type="dxa"/>
            <w:gridSpan w:val="4"/>
            <w:tcBorders>
              <w:top w:val="nil"/>
              <w:left w:val="nil"/>
              <w:bottom w:val="nil"/>
              <w:right w:val="nil"/>
            </w:tcBorders>
            <w:shd w:val="clear" w:color="auto" w:fill="auto"/>
            <w:noWrap/>
            <w:vAlign w:val="bottom"/>
            <w:hideMark/>
          </w:tcPr>
          <w:p w14:paraId="15205961" w14:textId="77777777" w:rsidR="00971A7A" w:rsidRPr="00971A7A" w:rsidRDefault="00971A7A" w:rsidP="00971A7A">
            <w:pPr>
              <w:spacing w:after="0" w:line="240" w:lineRule="auto"/>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                         1,197,700 </w:t>
            </w:r>
          </w:p>
        </w:tc>
        <w:tc>
          <w:tcPr>
            <w:tcW w:w="1630" w:type="dxa"/>
            <w:gridSpan w:val="7"/>
            <w:tcBorders>
              <w:top w:val="nil"/>
              <w:left w:val="nil"/>
              <w:bottom w:val="nil"/>
              <w:right w:val="nil"/>
            </w:tcBorders>
            <w:shd w:val="clear" w:color="auto" w:fill="auto"/>
            <w:noWrap/>
            <w:vAlign w:val="bottom"/>
            <w:hideMark/>
          </w:tcPr>
          <w:p w14:paraId="15119025" w14:textId="77777777" w:rsidR="00971A7A" w:rsidRPr="00971A7A" w:rsidRDefault="00971A7A" w:rsidP="00971A7A">
            <w:pPr>
              <w:spacing w:after="0" w:line="240" w:lineRule="auto"/>
              <w:jc w:val="left"/>
              <w:rPr>
                <w:rFonts w:ascii="Calibri" w:eastAsia="Times New Roman" w:hAnsi="Calibri" w:cs="Calibri"/>
                <w:color w:val="000000"/>
                <w:sz w:val="16"/>
                <w:szCs w:val="16"/>
              </w:rPr>
            </w:pPr>
          </w:p>
        </w:tc>
        <w:tc>
          <w:tcPr>
            <w:tcW w:w="1497" w:type="dxa"/>
            <w:gridSpan w:val="7"/>
            <w:tcBorders>
              <w:top w:val="nil"/>
              <w:left w:val="nil"/>
              <w:bottom w:val="nil"/>
              <w:right w:val="nil"/>
            </w:tcBorders>
            <w:shd w:val="clear" w:color="auto" w:fill="auto"/>
            <w:noWrap/>
            <w:vAlign w:val="bottom"/>
            <w:hideMark/>
          </w:tcPr>
          <w:p w14:paraId="5DD38DDE"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640" w:type="dxa"/>
            <w:gridSpan w:val="5"/>
            <w:tcBorders>
              <w:top w:val="nil"/>
              <w:left w:val="nil"/>
              <w:bottom w:val="nil"/>
              <w:right w:val="single" w:sz="4" w:space="0" w:color="auto"/>
            </w:tcBorders>
            <w:shd w:val="clear" w:color="auto" w:fill="auto"/>
            <w:noWrap/>
            <w:vAlign w:val="bottom"/>
            <w:hideMark/>
          </w:tcPr>
          <w:p w14:paraId="17F660DB" w14:textId="20B6BEE6" w:rsidR="00971A7A" w:rsidRPr="00971A7A" w:rsidRDefault="00C75E7A" w:rsidP="00971A7A">
            <w:pPr>
              <w:spacing w:after="0" w:line="240" w:lineRule="auto"/>
              <w:jc w:val="left"/>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00971A7A" w:rsidRPr="00971A7A">
              <w:rPr>
                <w:rFonts w:ascii="Calibri" w:eastAsia="Times New Roman" w:hAnsi="Calibri" w:cs="Calibri"/>
                <w:color w:val="000000"/>
                <w:sz w:val="16"/>
                <w:szCs w:val="16"/>
              </w:rPr>
              <w:t xml:space="preserve">1,197,700 </w:t>
            </w:r>
          </w:p>
        </w:tc>
      </w:tr>
      <w:tr w:rsidR="00971A7A" w:rsidRPr="00971A7A" w14:paraId="1120553C"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147B3B5B" w14:textId="77777777" w:rsidR="00971A7A" w:rsidRPr="00971A7A" w:rsidRDefault="00971A7A" w:rsidP="00971A7A">
            <w:pPr>
              <w:spacing w:after="0" w:line="240" w:lineRule="auto"/>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NRDZ Subaward</w:t>
            </w:r>
          </w:p>
        </w:tc>
        <w:tc>
          <w:tcPr>
            <w:tcW w:w="1016" w:type="dxa"/>
            <w:gridSpan w:val="2"/>
            <w:tcBorders>
              <w:top w:val="nil"/>
              <w:left w:val="nil"/>
              <w:bottom w:val="nil"/>
              <w:right w:val="nil"/>
            </w:tcBorders>
            <w:shd w:val="clear" w:color="auto" w:fill="auto"/>
            <w:noWrap/>
            <w:vAlign w:val="bottom"/>
            <w:hideMark/>
          </w:tcPr>
          <w:p w14:paraId="56A0C263" w14:textId="77777777" w:rsidR="00971A7A" w:rsidRPr="00971A7A" w:rsidRDefault="00971A7A" w:rsidP="00971A7A">
            <w:pPr>
              <w:spacing w:after="0" w:line="240" w:lineRule="auto"/>
              <w:jc w:val="left"/>
              <w:rPr>
                <w:rFonts w:ascii="Calibri" w:eastAsia="Times New Roman" w:hAnsi="Calibri" w:cs="Calibri"/>
                <w:color w:val="000000"/>
                <w:sz w:val="16"/>
                <w:szCs w:val="16"/>
              </w:rPr>
            </w:pPr>
          </w:p>
        </w:tc>
        <w:tc>
          <w:tcPr>
            <w:tcW w:w="1232" w:type="dxa"/>
            <w:gridSpan w:val="2"/>
            <w:tcBorders>
              <w:top w:val="nil"/>
              <w:left w:val="nil"/>
              <w:bottom w:val="nil"/>
              <w:right w:val="nil"/>
            </w:tcBorders>
            <w:shd w:val="clear" w:color="auto" w:fill="auto"/>
            <w:noWrap/>
            <w:vAlign w:val="bottom"/>
            <w:hideMark/>
          </w:tcPr>
          <w:p w14:paraId="704E2FDF" w14:textId="6821B785" w:rsidR="00971A7A" w:rsidRPr="00971A7A" w:rsidRDefault="00971A7A" w:rsidP="00971A7A">
            <w:pPr>
              <w:spacing w:after="0" w:line="240" w:lineRule="auto"/>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269,062 </w:t>
            </w:r>
          </w:p>
        </w:tc>
        <w:tc>
          <w:tcPr>
            <w:tcW w:w="643" w:type="dxa"/>
            <w:gridSpan w:val="3"/>
            <w:tcBorders>
              <w:top w:val="nil"/>
              <w:left w:val="nil"/>
              <w:bottom w:val="nil"/>
              <w:right w:val="nil"/>
            </w:tcBorders>
            <w:shd w:val="clear" w:color="auto" w:fill="auto"/>
            <w:noWrap/>
            <w:vAlign w:val="bottom"/>
            <w:hideMark/>
          </w:tcPr>
          <w:p w14:paraId="028F6B09" w14:textId="77777777" w:rsidR="00971A7A" w:rsidRPr="00971A7A" w:rsidRDefault="00971A7A" w:rsidP="00971A7A">
            <w:pPr>
              <w:spacing w:after="0" w:line="240" w:lineRule="auto"/>
              <w:jc w:val="lef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5309F6D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404F3CEC"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32" w:type="dxa"/>
            <w:gridSpan w:val="2"/>
            <w:tcBorders>
              <w:top w:val="nil"/>
              <w:left w:val="nil"/>
              <w:bottom w:val="nil"/>
              <w:right w:val="nil"/>
            </w:tcBorders>
            <w:shd w:val="clear" w:color="auto" w:fill="auto"/>
            <w:noWrap/>
            <w:vAlign w:val="bottom"/>
          </w:tcPr>
          <w:p w14:paraId="3AE0F7A9"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48" w:type="dxa"/>
            <w:gridSpan w:val="4"/>
            <w:tcBorders>
              <w:top w:val="nil"/>
              <w:left w:val="nil"/>
              <w:bottom w:val="nil"/>
              <w:right w:val="nil"/>
            </w:tcBorders>
            <w:shd w:val="clear" w:color="auto" w:fill="auto"/>
            <w:noWrap/>
            <w:vAlign w:val="bottom"/>
            <w:hideMark/>
          </w:tcPr>
          <w:p w14:paraId="6389E4A3"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568" w:type="dxa"/>
            <w:gridSpan w:val="4"/>
            <w:tcBorders>
              <w:top w:val="nil"/>
              <w:left w:val="nil"/>
              <w:bottom w:val="nil"/>
              <w:right w:val="single" w:sz="4" w:space="0" w:color="auto"/>
            </w:tcBorders>
            <w:shd w:val="clear" w:color="auto" w:fill="auto"/>
            <w:noWrap/>
            <w:vAlign w:val="bottom"/>
            <w:hideMark/>
          </w:tcPr>
          <w:p w14:paraId="3C151DAD" w14:textId="3EB3E44F" w:rsidR="00971A7A" w:rsidRPr="00971A7A" w:rsidRDefault="00C75E7A" w:rsidP="00C75E7A">
            <w:pPr>
              <w:spacing w:after="0" w:line="240" w:lineRule="auto"/>
              <w:jc w:val="left"/>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00971A7A" w:rsidRPr="00971A7A">
              <w:rPr>
                <w:rFonts w:ascii="Calibri" w:eastAsia="Times New Roman" w:hAnsi="Calibri" w:cs="Calibri"/>
                <w:color w:val="000000"/>
                <w:sz w:val="16"/>
                <w:szCs w:val="16"/>
              </w:rPr>
              <w:t>269,062</w:t>
            </w:r>
          </w:p>
        </w:tc>
      </w:tr>
      <w:tr w:rsidR="00971A7A" w:rsidRPr="00971A7A" w14:paraId="53295BDD"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20729B0B" w14:textId="77777777" w:rsidR="00971A7A" w:rsidRPr="00971A7A" w:rsidRDefault="00971A7A" w:rsidP="00971A7A">
            <w:pPr>
              <w:spacing w:after="0" w:line="240" w:lineRule="auto"/>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WFO</w:t>
            </w:r>
          </w:p>
        </w:tc>
        <w:tc>
          <w:tcPr>
            <w:tcW w:w="2248" w:type="dxa"/>
            <w:gridSpan w:val="4"/>
            <w:tcBorders>
              <w:top w:val="nil"/>
              <w:left w:val="nil"/>
              <w:bottom w:val="nil"/>
              <w:right w:val="nil"/>
            </w:tcBorders>
            <w:shd w:val="clear" w:color="auto" w:fill="auto"/>
            <w:noWrap/>
            <w:vAlign w:val="bottom"/>
            <w:hideMark/>
          </w:tcPr>
          <w:p w14:paraId="67B2A9F8" w14:textId="77777777" w:rsidR="00971A7A" w:rsidRPr="00971A7A" w:rsidRDefault="00971A7A" w:rsidP="00971A7A">
            <w:pPr>
              <w:spacing w:after="0" w:line="240" w:lineRule="auto"/>
              <w:jc w:val="left"/>
              <w:rPr>
                <w:rFonts w:ascii="Calibri" w:eastAsia="Times New Roman" w:hAnsi="Calibri" w:cs="Calibri"/>
                <w:color w:val="000000"/>
                <w:sz w:val="16"/>
                <w:szCs w:val="16"/>
              </w:rPr>
            </w:pPr>
          </w:p>
        </w:tc>
        <w:tc>
          <w:tcPr>
            <w:tcW w:w="1630" w:type="dxa"/>
            <w:gridSpan w:val="7"/>
            <w:tcBorders>
              <w:top w:val="nil"/>
              <w:left w:val="nil"/>
              <w:bottom w:val="nil"/>
              <w:right w:val="nil"/>
            </w:tcBorders>
            <w:shd w:val="clear" w:color="auto" w:fill="auto"/>
            <w:noWrap/>
            <w:vAlign w:val="bottom"/>
            <w:hideMark/>
          </w:tcPr>
          <w:p w14:paraId="4C2F790B" w14:textId="77777777" w:rsidR="00971A7A" w:rsidRPr="00971A7A" w:rsidRDefault="00971A7A" w:rsidP="00971A7A">
            <w:pPr>
              <w:spacing w:after="0" w:line="240" w:lineRule="auto"/>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           576,678 </w:t>
            </w:r>
          </w:p>
        </w:tc>
        <w:tc>
          <w:tcPr>
            <w:tcW w:w="1497" w:type="dxa"/>
            <w:gridSpan w:val="7"/>
            <w:tcBorders>
              <w:top w:val="nil"/>
              <w:left w:val="nil"/>
              <w:bottom w:val="nil"/>
              <w:right w:val="nil"/>
            </w:tcBorders>
            <w:shd w:val="clear" w:color="auto" w:fill="auto"/>
            <w:noWrap/>
            <w:vAlign w:val="bottom"/>
            <w:hideMark/>
          </w:tcPr>
          <w:p w14:paraId="54436EB1" w14:textId="77777777" w:rsidR="00971A7A" w:rsidRPr="00971A7A" w:rsidRDefault="00971A7A" w:rsidP="00971A7A">
            <w:pPr>
              <w:spacing w:after="0" w:line="240" w:lineRule="auto"/>
              <w:jc w:val="left"/>
              <w:rPr>
                <w:rFonts w:ascii="Calibri" w:eastAsia="Times New Roman" w:hAnsi="Calibri" w:cs="Calibri"/>
                <w:color w:val="000000"/>
                <w:sz w:val="16"/>
                <w:szCs w:val="16"/>
              </w:rPr>
            </w:pPr>
          </w:p>
        </w:tc>
        <w:tc>
          <w:tcPr>
            <w:tcW w:w="1640" w:type="dxa"/>
            <w:gridSpan w:val="5"/>
            <w:tcBorders>
              <w:top w:val="nil"/>
              <w:left w:val="nil"/>
              <w:bottom w:val="nil"/>
              <w:right w:val="single" w:sz="4" w:space="0" w:color="auto"/>
            </w:tcBorders>
            <w:shd w:val="clear" w:color="auto" w:fill="auto"/>
            <w:noWrap/>
            <w:vAlign w:val="bottom"/>
            <w:hideMark/>
          </w:tcPr>
          <w:p w14:paraId="39FA5205" w14:textId="3FFF42D6" w:rsidR="00971A7A" w:rsidRPr="00971A7A" w:rsidRDefault="00C75E7A" w:rsidP="00971A7A">
            <w:pPr>
              <w:spacing w:after="0" w:line="240" w:lineRule="auto"/>
              <w:jc w:val="left"/>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00971A7A" w:rsidRPr="00971A7A">
              <w:rPr>
                <w:rFonts w:ascii="Calibri" w:eastAsia="Times New Roman" w:hAnsi="Calibri" w:cs="Calibri"/>
                <w:color w:val="000000"/>
                <w:sz w:val="16"/>
                <w:szCs w:val="16"/>
              </w:rPr>
              <w:t xml:space="preserve">576,678 </w:t>
            </w:r>
          </w:p>
        </w:tc>
      </w:tr>
      <w:tr w:rsidR="00971A7A" w:rsidRPr="00971A7A" w14:paraId="14FC83CB"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000000" w:fill="BDD7EE"/>
            <w:noWrap/>
            <w:vAlign w:val="bottom"/>
            <w:hideMark/>
          </w:tcPr>
          <w:p w14:paraId="74B60326" w14:textId="77777777" w:rsidR="00971A7A" w:rsidRPr="00971A7A" w:rsidRDefault="00971A7A" w:rsidP="00971A7A">
            <w:pPr>
              <w:spacing w:after="0" w:line="240" w:lineRule="auto"/>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Grand Total, Funding</w:t>
            </w:r>
          </w:p>
        </w:tc>
        <w:tc>
          <w:tcPr>
            <w:tcW w:w="2248" w:type="dxa"/>
            <w:gridSpan w:val="4"/>
            <w:tcBorders>
              <w:top w:val="nil"/>
              <w:left w:val="nil"/>
              <w:bottom w:val="single" w:sz="4" w:space="0" w:color="auto"/>
              <w:right w:val="nil"/>
            </w:tcBorders>
            <w:shd w:val="clear" w:color="000000" w:fill="BDD7EE"/>
            <w:noWrap/>
            <w:vAlign w:val="bottom"/>
            <w:hideMark/>
          </w:tcPr>
          <w:p w14:paraId="05A3CF28" w14:textId="77777777" w:rsidR="00971A7A" w:rsidRPr="00971A7A" w:rsidRDefault="00971A7A" w:rsidP="00971A7A">
            <w:pPr>
              <w:spacing w:after="0" w:line="240" w:lineRule="auto"/>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                       15,110,556 </w:t>
            </w:r>
          </w:p>
        </w:tc>
        <w:tc>
          <w:tcPr>
            <w:tcW w:w="1630" w:type="dxa"/>
            <w:gridSpan w:val="7"/>
            <w:tcBorders>
              <w:top w:val="nil"/>
              <w:left w:val="nil"/>
              <w:bottom w:val="single" w:sz="4" w:space="0" w:color="auto"/>
              <w:right w:val="nil"/>
            </w:tcBorders>
            <w:shd w:val="clear" w:color="000000" w:fill="BDD7EE"/>
            <w:noWrap/>
            <w:vAlign w:val="bottom"/>
            <w:hideMark/>
          </w:tcPr>
          <w:p w14:paraId="784ED8DE" w14:textId="77777777" w:rsidR="00971A7A" w:rsidRPr="00971A7A" w:rsidRDefault="00971A7A" w:rsidP="00971A7A">
            <w:pPr>
              <w:spacing w:after="0" w:line="240" w:lineRule="auto"/>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           576,678 </w:t>
            </w:r>
          </w:p>
        </w:tc>
        <w:tc>
          <w:tcPr>
            <w:tcW w:w="1497" w:type="dxa"/>
            <w:gridSpan w:val="7"/>
            <w:tcBorders>
              <w:top w:val="nil"/>
              <w:left w:val="nil"/>
              <w:bottom w:val="single" w:sz="4" w:space="0" w:color="auto"/>
              <w:right w:val="nil"/>
            </w:tcBorders>
            <w:shd w:val="clear" w:color="000000" w:fill="BDD7EE"/>
            <w:noWrap/>
            <w:vAlign w:val="bottom"/>
            <w:hideMark/>
          </w:tcPr>
          <w:p w14:paraId="03E2A45A" w14:textId="489895C7" w:rsidR="00971A7A" w:rsidRPr="00971A7A" w:rsidRDefault="00971A7A" w:rsidP="00971A7A">
            <w:pPr>
              <w:spacing w:after="0" w:line="240" w:lineRule="auto"/>
              <w:jc w:val="left"/>
              <w:rPr>
                <w:rFonts w:ascii="Calibri" w:eastAsia="Times New Roman" w:hAnsi="Calibri" w:cs="Calibri"/>
                <w:color w:val="000000"/>
                <w:sz w:val="16"/>
                <w:szCs w:val="16"/>
              </w:rPr>
            </w:pPr>
          </w:p>
        </w:tc>
        <w:tc>
          <w:tcPr>
            <w:tcW w:w="1640" w:type="dxa"/>
            <w:gridSpan w:val="5"/>
            <w:tcBorders>
              <w:top w:val="nil"/>
              <w:left w:val="nil"/>
              <w:bottom w:val="single" w:sz="4" w:space="0" w:color="auto"/>
              <w:right w:val="single" w:sz="4" w:space="0" w:color="auto"/>
            </w:tcBorders>
            <w:shd w:val="clear" w:color="000000" w:fill="BDD7EE"/>
            <w:noWrap/>
            <w:vAlign w:val="bottom"/>
            <w:hideMark/>
          </w:tcPr>
          <w:p w14:paraId="28C7D329" w14:textId="687D829F" w:rsidR="00971A7A" w:rsidRPr="00971A7A" w:rsidRDefault="00971A7A" w:rsidP="00971A7A">
            <w:pPr>
              <w:spacing w:after="0" w:line="240" w:lineRule="auto"/>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15,687,234 </w:t>
            </w:r>
          </w:p>
        </w:tc>
      </w:tr>
      <w:tr w:rsidR="00971A7A" w:rsidRPr="00971A7A" w14:paraId="3758392A" w14:textId="77777777" w:rsidTr="009924E1">
        <w:trPr>
          <w:gridAfter w:val="1"/>
          <w:wAfter w:w="130" w:type="dxa"/>
          <w:trHeight w:val="300"/>
        </w:trPr>
        <w:tc>
          <w:tcPr>
            <w:tcW w:w="2520" w:type="dxa"/>
            <w:tcBorders>
              <w:top w:val="single" w:sz="4" w:space="0" w:color="auto"/>
              <w:left w:val="nil"/>
              <w:bottom w:val="nil"/>
              <w:right w:val="nil"/>
            </w:tcBorders>
            <w:shd w:val="clear" w:color="auto" w:fill="auto"/>
            <w:noWrap/>
            <w:vAlign w:val="bottom"/>
            <w:hideMark/>
          </w:tcPr>
          <w:p w14:paraId="3658C98E" w14:textId="77777777" w:rsidR="00971A7A" w:rsidRPr="00971A7A" w:rsidRDefault="00971A7A" w:rsidP="00971A7A">
            <w:pPr>
              <w:spacing w:after="0" w:line="240" w:lineRule="auto"/>
              <w:jc w:val="left"/>
              <w:rPr>
                <w:rFonts w:ascii="Calibri" w:eastAsia="Times New Roman" w:hAnsi="Calibri" w:cs="Calibri"/>
                <w:color w:val="000000"/>
                <w:sz w:val="16"/>
                <w:szCs w:val="16"/>
              </w:rPr>
            </w:pPr>
          </w:p>
        </w:tc>
        <w:tc>
          <w:tcPr>
            <w:tcW w:w="1016" w:type="dxa"/>
            <w:gridSpan w:val="2"/>
            <w:tcBorders>
              <w:top w:val="single" w:sz="4" w:space="0" w:color="auto"/>
              <w:left w:val="nil"/>
              <w:bottom w:val="nil"/>
              <w:right w:val="nil"/>
            </w:tcBorders>
            <w:shd w:val="clear" w:color="auto" w:fill="auto"/>
            <w:noWrap/>
            <w:vAlign w:val="bottom"/>
            <w:hideMark/>
          </w:tcPr>
          <w:p w14:paraId="07391904"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232" w:type="dxa"/>
            <w:gridSpan w:val="2"/>
            <w:tcBorders>
              <w:top w:val="single" w:sz="4" w:space="0" w:color="auto"/>
              <w:left w:val="nil"/>
              <w:bottom w:val="nil"/>
              <w:right w:val="nil"/>
            </w:tcBorders>
            <w:shd w:val="clear" w:color="auto" w:fill="auto"/>
            <w:noWrap/>
            <w:vAlign w:val="bottom"/>
            <w:hideMark/>
          </w:tcPr>
          <w:p w14:paraId="34816C6B"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43" w:type="dxa"/>
            <w:gridSpan w:val="3"/>
            <w:tcBorders>
              <w:top w:val="single" w:sz="4" w:space="0" w:color="auto"/>
              <w:left w:val="nil"/>
              <w:bottom w:val="nil"/>
              <w:right w:val="nil"/>
            </w:tcBorders>
            <w:shd w:val="clear" w:color="auto" w:fill="auto"/>
            <w:noWrap/>
            <w:vAlign w:val="bottom"/>
            <w:hideMark/>
          </w:tcPr>
          <w:p w14:paraId="64292706"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19CB0F70"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1E1BF1A3"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single" w:sz="4" w:space="0" w:color="auto"/>
              <w:left w:val="nil"/>
              <w:bottom w:val="nil"/>
              <w:right w:val="nil"/>
            </w:tcBorders>
            <w:shd w:val="clear" w:color="auto" w:fill="auto"/>
            <w:noWrap/>
            <w:vAlign w:val="bottom"/>
            <w:hideMark/>
          </w:tcPr>
          <w:p w14:paraId="3111CBAA"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nil"/>
              <w:right w:val="nil"/>
            </w:tcBorders>
            <w:shd w:val="clear" w:color="auto" w:fill="auto"/>
            <w:noWrap/>
            <w:vAlign w:val="bottom"/>
            <w:hideMark/>
          </w:tcPr>
          <w:p w14:paraId="12BEFD3F"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975" w:type="dxa"/>
            <w:gridSpan w:val="2"/>
            <w:tcBorders>
              <w:top w:val="single" w:sz="4" w:space="0" w:color="auto"/>
              <w:left w:val="nil"/>
              <w:bottom w:val="nil"/>
              <w:right w:val="nil"/>
            </w:tcBorders>
            <w:shd w:val="clear" w:color="auto" w:fill="auto"/>
            <w:noWrap/>
            <w:vAlign w:val="bottom"/>
            <w:hideMark/>
          </w:tcPr>
          <w:p w14:paraId="44060E1D"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r>
      <w:tr w:rsidR="00971A7A" w:rsidRPr="00971A7A" w14:paraId="5FD485F7" w14:textId="77777777" w:rsidTr="009924E1">
        <w:trPr>
          <w:gridAfter w:val="1"/>
          <w:wAfter w:w="130" w:type="dxa"/>
          <w:trHeight w:val="300"/>
        </w:trPr>
        <w:tc>
          <w:tcPr>
            <w:tcW w:w="2520" w:type="dxa"/>
            <w:tcBorders>
              <w:top w:val="nil"/>
              <w:left w:val="nil"/>
              <w:bottom w:val="nil"/>
              <w:right w:val="nil"/>
            </w:tcBorders>
            <w:shd w:val="clear" w:color="auto" w:fill="auto"/>
            <w:noWrap/>
            <w:vAlign w:val="bottom"/>
            <w:hideMark/>
          </w:tcPr>
          <w:p w14:paraId="4E95D6CD"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16" w:type="dxa"/>
            <w:gridSpan w:val="2"/>
            <w:tcBorders>
              <w:top w:val="nil"/>
              <w:left w:val="nil"/>
              <w:bottom w:val="nil"/>
              <w:right w:val="nil"/>
            </w:tcBorders>
            <w:shd w:val="clear" w:color="auto" w:fill="auto"/>
            <w:noWrap/>
            <w:vAlign w:val="bottom"/>
            <w:hideMark/>
          </w:tcPr>
          <w:p w14:paraId="655E4871"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232" w:type="dxa"/>
            <w:gridSpan w:val="2"/>
            <w:tcBorders>
              <w:top w:val="nil"/>
              <w:left w:val="nil"/>
              <w:bottom w:val="nil"/>
              <w:right w:val="nil"/>
            </w:tcBorders>
            <w:shd w:val="clear" w:color="auto" w:fill="auto"/>
            <w:noWrap/>
            <w:vAlign w:val="bottom"/>
            <w:hideMark/>
          </w:tcPr>
          <w:p w14:paraId="6D0E0C50"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43" w:type="dxa"/>
            <w:gridSpan w:val="3"/>
            <w:tcBorders>
              <w:top w:val="nil"/>
              <w:left w:val="nil"/>
              <w:bottom w:val="nil"/>
              <w:right w:val="nil"/>
            </w:tcBorders>
            <w:shd w:val="clear" w:color="auto" w:fill="auto"/>
            <w:noWrap/>
            <w:vAlign w:val="bottom"/>
            <w:hideMark/>
          </w:tcPr>
          <w:p w14:paraId="4EFB3D2B"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987" w:type="dxa"/>
            <w:gridSpan w:val="4"/>
            <w:tcBorders>
              <w:top w:val="nil"/>
              <w:left w:val="nil"/>
              <w:bottom w:val="nil"/>
              <w:right w:val="nil"/>
            </w:tcBorders>
            <w:shd w:val="clear" w:color="auto" w:fill="auto"/>
            <w:noWrap/>
            <w:vAlign w:val="bottom"/>
            <w:hideMark/>
          </w:tcPr>
          <w:p w14:paraId="176667E0"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4EABBA44"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nil"/>
              <w:right w:val="nil"/>
            </w:tcBorders>
            <w:shd w:val="clear" w:color="auto" w:fill="auto"/>
            <w:noWrap/>
            <w:vAlign w:val="bottom"/>
            <w:hideMark/>
          </w:tcPr>
          <w:p w14:paraId="2D159DE4"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nil"/>
              <w:right w:val="nil"/>
            </w:tcBorders>
            <w:shd w:val="clear" w:color="auto" w:fill="auto"/>
            <w:noWrap/>
            <w:vAlign w:val="bottom"/>
            <w:hideMark/>
          </w:tcPr>
          <w:p w14:paraId="31570FD7"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975" w:type="dxa"/>
            <w:gridSpan w:val="2"/>
            <w:tcBorders>
              <w:top w:val="nil"/>
              <w:left w:val="nil"/>
              <w:bottom w:val="nil"/>
              <w:right w:val="nil"/>
            </w:tcBorders>
            <w:shd w:val="clear" w:color="auto" w:fill="auto"/>
            <w:noWrap/>
            <w:vAlign w:val="bottom"/>
            <w:hideMark/>
          </w:tcPr>
          <w:p w14:paraId="7407870A"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r>
      <w:tr w:rsidR="00971A7A" w:rsidRPr="00971A7A" w14:paraId="38B0D353"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000000" w:fill="2F75B5"/>
            <w:noWrap/>
            <w:vAlign w:val="bottom"/>
            <w:hideMark/>
          </w:tcPr>
          <w:p w14:paraId="77242DF8" w14:textId="77777777" w:rsidR="00971A7A" w:rsidRPr="00971A7A" w:rsidRDefault="00971A7A" w:rsidP="00971A7A">
            <w:pPr>
              <w:spacing w:after="0" w:line="240" w:lineRule="auto"/>
              <w:jc w:val="left"/>
              <w:rPr>
                <w:rFonts w:ascii="Calibri" w:eastAsia="Times New Roman" w:hAnsi="Calibri" w:cs="Calibri"/>
                <w:b/>
                <w:bCs/>
                <w:color w:val="FFFFFF"/>
                <w:sz w:val="24"/>
                <w:szCs w:val="24"/>
              </w:rPr>
            </w:pPr>
            <w:r w:rsidRPr="00971A7A">
              <w:rPr>
                <w:rFonts w:ascii="Calibri" w:eastAsia="Times New Roman" w:hAnsi="Calibri" w:cs="Calibri"/>
                <w:b/>
                <w:bCs/>
                <w:color w:val="FFFFFF"/>
                <w:sz w:val="24"/>
                <w:szCs w:val="24"/>
              </w:rPr>
              <w:t> EXPENSES</w:t>
            </w:r>
          </w:p>
        </w:tc>
        <w:tc>
          <w:tcPr>
            <w:tcW w:w="2248" w:type="dxa"/>
            <w:gridSpan w:val="4"/>
            <w:tcBorders>
              <w:top w:val="nil"/>
              <w:left w:val="nil"/>
              <w:bottom w:val="nil"/>
              <w:right w:val="nil"/>
            </w:tcBorders>
            <w:shd w:val="clear" w:color="000000" w:fill="2F75B5"/>
            <w:noWrap/>
            <w:vAlign w:val="bottom"/>
            <w:hideMark/>
          </w:tcPr>
          <w:p w14:paraId="420469BF" w14:textId="77777777" w:rsidR="00971A7A" w:rsidRPr="00971A7A" w:rsidRDefault="00971A7A" w:rsidP="00971A7A">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CSA-G</w:t>
            </w:r>
          </w:p>
        </w:tc>
        <w:tc>
          <w:tcPr>
            <w:tcW w:w="1630" w:type="dxa"/>
            <w:gridSpan w:val="7"/>
            <w:tcBorders>
              <w:top w:val="nil"/>
              <w:left w:val="nil"/>
              <w:bottom w:val="nil"/>
              <w:right w:val="nil"/>
            </w:tcBorders>
            <w:shd w:val="clear" w:color="000000" w:fill="2F75B5"/>
            <w:noWrap/>
            <w:vAlign w:val="bottom"/>
            <w:hideMark/>
          </w:tcPr>
          <w:p w14:paraId="3E599888" w14:textId="77777777" w:rsidR="00971A7A" w:rsidRPr="00971A7A" w:rsidRDefault="00971A7A" w:rsidP="00971A7A">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WFO</w:t>
            </w:r>
          </w:p>
        </w:tc>
        <w:tc>
          <w:tcPr>
            <w:tcW w:w="1497" w:type="dxa"/>
            <w:gridSpan w:val="7"/>
            <w:tcBorders>
              <w:top w:val="nil"/>
              <w:left w:val="nil"/>
              <w:bottom w:val="nil"/>
              <w:right w:val="nil"/>
            </w:tcBorders>
            <w:shd w:val="clear" w:color="000000" w:fill="2F75B5"/>
            <w:noWrap/>
            <w:vAlign w:val="bottom"/>
            <w:hideMark/>
          </w:tcPr>
          <w:p w14:paraId="0E3D7293" w14:textId="77777777" w:rsidR="00971A7A" w:rsidRPr="00971A7A" w:rsidRDefault="00971A7A" w:rsidP="00971A7A">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GBO ICC</w:t>
            </w:r>
          </w:p>
        </w:tc>
        <w:tc>
          <w:tcPr>
            <w:tcW w:w="1640" w:type="dxa"/>
            <w:gridSpan w:val="5"/>
            <w:tcBorders>
              <w:top w:val="nil"/>
              <w:left w:val="nil"/>
              <w:bottom w:val="nil"/>
              <w:right w:val="nil"/>
            </w:tcBorders>
            <w:shd w:val="clear" w:color="000000" w:fill="2F75B5"/>
            <w:noWrap/>
            <w:vAlign w:val="bottom"/>
            <w:hideMark/>
          </w:tcPr>
          <w:p w14:paraId="66612AB8" w14:textId="77777777" w:rsidR="00971A7A" w:rsidRPr="00971A7A" w:rsidRDefault="00971A7A" w:rsidP="00971A7A">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TOTAL</w:t>
            </w:r>
          </w:p>
        </w:tc>
      </w:tr>
      <w:tr w:rsidR="00971A7A" w:rsidRPr="00971A7A" w14:paraId="326C91AF" w14:textId="77777777" w:rsidTr="009924E1">
        <w:trPr>
          <w:gridAfter w:val="1"/>
          <w:wAfter w:w="130" w:type="dxa"/>
          <w:trHeight w:val="300"/>
        </w:trPr>
        <w:tc>
          <w:tcPr>
            <w:tcW w:w="2520" w:type="dxa"/>
            <w:tcBorders>
              <w:top w:val="nil"/>
              <w:left w:val="nil"/>
              <w:bottom w:val="single" w:sz="4" w:space="0" w:color="auto"/>
              <w:right w:val="nil"/>
            </w:tcBorders>
            <w:shd w:val="clear" w:color="000000" w:fill="2F75B5"/>
            <w:noWrap/>
            <w:vAlign w:val="bottom"/>
            <w:hideMark/>
          </w:tcPr>
          <w:p w14:paraId="72A7E201" w14:textId="77777777" w:rsidR="00971A7A" w:rsidRPr="00971A7A" w:rsidRDefault="00971A7A" w:rsidP="00971A7A">
            <w:pPr>
              <w:spacing w:after="0" w:line="240" w:lineRule="auto"/>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 </w:t>
            </w:r>
          </w:p>
        </w:tc>
        <w:tc>
          <w:tcPr>
            <w:tcW w:w="1016" w:type="dxa"/>
            <w:gridSpan w:val="2"/>
            <w:tcBorders>
              <w:top w:val="single" w:sz="4" w:space="0" w:color="auto"/>
              <w:left w:val="single" w:sz="4" w:space="0" w:color="auto"/>
              <w:bottom w:val="single" w:sz="4" w:space="0" w:color="auto"/>
              <w:right w:val="single" w:sz="4" w:space="0" w:color="auto"/>
            </w:tcBorders>
            <w:shd w:val="clear" w:color="000000" w:fill="2F75B5"/>
            <w:noWrap/>
            <w:vAlign w:val="bottom"/>
            <w:hideMark/>
          </w:tcPr>
          <w:p w14:paraId="2D962BD0" w14:textId="77777777" w:rsidR="00971A7A" w:rsidRPr="00971A7A" w:rsidRDefault="00971A7A" w:rsidP="00971A7A">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FTE</w:t>
            </w:r>
          </w:p>
        </w:tc>
        <w:tc>
          <w:tcPr>
            <w:tcW w:w="1232" w:type="dxa"/>
            <w:gridSpan w:val="2"/>
            <w:tcBorders>
              <w:top w:val="single" w:sz="4" w:space="0" w:color="auto"/>
              <w:left w:val="nil"/>
              <w:bottom w:val="single" w:sz="4" w:space="0" w:color="auto"/>
              <w:right w:val="single" w:sz="4" w:space="0" w:color="auto"/>
            </w:tcBorders>
            <w:shd w:val="clear" w:color="000000" w:fill="2F75B5"/>
            <w:noWrap/>
            <w:vAlign w:val="bottom"/>
            <w:hideMark/>
          </w:tcPr>
          <w:p w14:paraId="751B9051" w14:textId="77777777" w:rsidR="00971A7A" w:rsidRPr="00971A7A" w:rsidRDefault="00971A7A" w:rsidP="00971A7A">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Expenses</w:t>
            </w:r>
          </w:p>
        </w:tc>
        <w:tc>
          <w:tcPr>
            <w:tcW w:w="643" w:type="dxa"/>
            <w:gridSpan w:val="3"/>
            <w:tcBorders>
              <w:top w:val="single" w:sz="4" w:space="0" w:color="auto"/>
              <w:left w:val="nil"/>
              <w:bottom w:val="single" w:sz="4" w:space="0" w:color="auto"/>
              <w:right w:val="single" w:sz="4" w:space="0" w:color="auto"/>
            </w:tcBorders>
            <w:shd w:val="clear" w:color="000000" w:fill="2F75B5"/>
            <w:noWrap/>
            <w:vAlign w:val="bottom"/>
            <w:hideMark/>
          </w:tcPr>
          <w:p w14:paraId="3D7C77C0" w14:textId="77777777" w:rsidR="00971A7A" w:rsidRPr="00971A7A" w:rsidRDefault="00971A7A" w:rsidP="00971A7A">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FTE</w:t>
            </w:r>
          </w:p>
        </w:tc>
        <w:tc>
          <w:tcPr>
            <w:tcW w:w="987" w:type="dxa"/>
            <w:gridSpan w:val="4"/>
            <w:tcBorders>
              <w:top w:val="single" w:sz="4" w:space="0" w:color="auto"/>
              <w:left w:val="nil"/>
              <w:bottom w:val="single" w:sz="4" w:space="0" w:color="auto"/>
              <w:right w:val="single" w:sz="4" w:space="0" w:color="auto"/>
            </w:tcBorders>
            <w:shd w:val="clear" w:color="000000" w:fill="2F75B5"/>
            <w:noWrap/>
            <w:vAlign w:val="bottom"/>
            <w:hideMark/>
          </w:tcPr>
          <w:p w14:paraId="6B0AD232" w14:textId="77777777" w:rsidR="00971A7A" w:rsidRPr="00971A7A" w:rsidRDefault="00971A7A" w:rsidP="00971A7A">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Expenses</w:t>
            </w:r>
          </w:p>
        </w:tc>
        <w:tc>
          <w:tcPr>
            <w:tcW w:w="489" w:type="dxa"/>
            <w:gridSpan w:val="2"/>
            <w:tcBorders>
              <w:top w:val="single" w:sz="4" w:space="0" w:color="auto"/>
              <w:left w:val="nil"/>
              <w:bottom w:val="single" w:sz="4" w:space="0" w:color="auto"/>
              <w:right w:val="single" w:sz="4" w:space="0" w:color="auto"/>
            </w:tcBorders>
            <w:shd w:val="clear" w:color="000000" w:fill="2F75B5"/>
            <w:noWrap/>
            <w:vAlign w:val="bottom"/>
            <w:hideMark/>
          </w:tcPr>
          <w:p w14:paraId="192EB304" w14:textId="77777777" w:rsidR="00971A7A" w:rsidRPr="00971A7A" w:rsidRDefault="00971A7A" w:rsidP="00971A7A">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FTE</w:t>
            </w:r>
          </w:p>
        </w:tc>
        <w:tc>
          <w:tcPr>
            <w:tcW w:w="1008" w:type="dxa"/>
            <w:gridSpan w:val="5"/>
            <w:tcBorders>
              <w:top w:val="single" w:sz="4" w:space="0" w:color="auto"/>
              <w:left w:val="nil"/>
              <w:bottom w:val="single" w:sz="4" w:space="0" w:color="auto"/>
              <w:right w:val="single" w:sz="4" w:space="0" w:color="auto"/>
            </w:tcBorders>
            <w:shd w:val="clear" w:color="000000" w:fill="2F75B5"/>
            <w:noWrap/>
            <w:vAlign w:val="bottom"/>
            <w:hideMark/>
          </w:tcPr>
          <w:p w14:paraId="2F9654D4" w14:textId="77777777" w:rsidR="00971A7A" w:rsidRPr="00971A7A" w:rsidRDefault="00971A7A" w:rsidP="00971A7A">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Expenses</w:t>
            </w:r>
          </w:p>
        </w:tc>
        <w:tc>
          <w:tcPr>
            <w:tcW w:w="665" w:type="dxa"/>
            <w:gridSpan w:val="3"/>
            <w:tcBorders>
              <w:top w:val="single" w:sz="4" w:space="0" w:color="auto"/>
              <w:left w:val="nil"/>
              <w:bottom w:val="single" w:sz="4" w:space="0" w:color="auto"/>
              <w:right w:val="single" w:sz="4" w:space="0" w:color="auto"/>
            </w:tcBorders>
            <w:shd w:val="clear" w:color="000000" w:fill="2F75B5"/>
            <w:noWrap/>
            <w:vAlign w:val="bottom"/>
            <w:hideMark/>
          </w:tcPr>
          <w:p w14:paraId="35412195" w14:textId="77777777" w:rsidR="00971A7A" w:rsidRPr="00971A7A" w:rsidRDefault="00971A7A" w:rsidP="00971A7A">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FTE</w:t>
            </w:r>
          </w:p>
        </w:tc>
        <w:tc>
          <w:tcPr>
            <w:tcW w:w="975" w:type="dxa"/>
            <w:gridSpan w:val="2"/>
            <w:tcBorders>
              <w:top w:val="single" w:sz="4" w:space="0" w:color="auto"/>
              <w:left w:val="nil"/>
              <w:bottom w:val="single" w:sz="4" w:space="0" w:color="auto"/>
              <w:right w:val="single" w:sz="4" w:space="0" w:color="auto"/>
            </w:tcBorders>
            <w:shd w:val="clear" w:color="000000" w:fill="2F75B5"/>
            <w:noWrap/>
            <w:vAlign w:val="bottom"/>
            <w:hideMark/>
          </w:tcPr>
          <w:p w14:paraId="1EB21F6E" w14:textId="77777777" w:rsidR="00971A7A" w:rsidRPr="00971A7A" w:rsidRDefault="00971A7A" w:rsidP="00971A7A">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Expenses</w:t>
            </w:r>
          </w:p>
        </w:tc>
      </w:tr>
      <w:tr w:rsidR="00971A7A" w:rsidRPr="00971A7A" w14:paraId="58E28655" w14:textId="77777777" w:rsidTr="009924E1">
        <w:trPr>
          <w:gridAfter w:val="1"/>
          <w:wAfter w:w="130" w:type="dxa"/>
          <w:trHeight w:val="300"/>
        </w:trPr>
        <w:tc>
          <w:tcPr>
            <w:tcW w:w="2520" w:type="dxa"/>
            <w:tcBorders>
              <w:top w:val="single" w:sz="4" w:space="0" w:color="auto"/>
              <w:left w:val="single" w:sz="4" w:space="0" w:color="auto"/>
              <w:bottom w:val="single" w:sz="4" w:space="0" w:color="9BC2E6"/>
              <w:right w:val="nil"/>
            </w:tcBorders>
            <w:shd w:val="clear" w:color="auto" w:fill="auto"/>
            <w:noWrap/>
            <w:vAlign w:val="bottom"/>
            <w:hideMark/>
          </w:tcPr>
          <w:p w14:paraId="0A1DAE6F" w14:textId="77777777" w:rsidR="00971A7A" w:rsidRPr="00971A7A" w:rsidRDefault="00971A7A" w:rsidP="00971A7A">
            <w:pPr>
              <w:spacing w:after="0" w:line="240" w:lineRule="auto"/>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1000-Telescope Operations</w:t>
            </w:r>
          </w:p>
        </w:tc>
        <w:tc>
          <w:tcPr>
            <w:tcW w:w="1016" w:type="dxa"/>
            <w:gridSpan w:val="2"/>
            <w:tcBorders>
              <w:top w:val="single" w:sz="4" w:space="0" w:color="auto"/>
              <w:left w:val="nil"/>
              <w:bottom w:val="single" w:sz="4" w:space="0" w:color="9BC2E6"/>
              <w:right w:val="nil"/>
            </w:tcBorders>
            <w:shd w:val="clear" w:color="auto" w:fill="auto"/>
            <w:noWrap/>
            <w:vAlign w:val="bottom"/>
            <w:hideMark/>
          </w:tcPr>
          <w:p w14:paraId="2FB99338"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59.07</w:t>
            </w:r>
          </w:p>
        </w:tc>
        <w:tc>
          <w:tcPr>
            <w:tcW w:w="1232" w:type="dxa"/>
            <w:gridSpan w:val="2"/>
            <w:tcBorders>
              <w:top w:val="single" w:sz="4" w:space="0" w:color="auto"/>
              <w:left w:val="nil"/>
              <w:bottom w:val="single" w:sz="4" w:space="0" w:color="9BC2E6"/>
              <w:right w:val="nil"/>
            </w:tcBorders>
            <w:shd w:val="clear" w:color="auto" w:fill="auto"/>
            <w:noWrap/>
            <w:vAlign w:val="bottom"/>
            <w:hideMark/>
          </w:tcPr>
          <w:p w14:paraId="7D519C56"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7,293,440 </w:t>
            </w:r>
          </w:p>
        </w:tc>
        <w:tc>
          <w:tcPr>
            <w:tcW w:w="643" w:type="dxa"/>
            <w:gridSpan w:val="3"/>
            <w:tcBorders>
              <w:top w:val="single" w:sz="4" w:space="0" w:color="auto"/>
              <w:left w:val="nil"/>
              <w:bottom w:val="single" w:sz="4" w:space="0" w:color="9BC2E6"/>
              <w:right w:val="nil"/>
            </w:tcBorders>
            <w:shd w:val="clear" w:color="auto" w:fill="auto"/>
            <w:noWrap/>
            <w:vAlign w:val="bottom"/>
            <w:hideMark/>
          </w:tcPr>
          <w:p w14:paraId="3EE79D02"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single" w:sz="4" w:space="0" w:color="9BC2E6"/>
              <w:right w:val="nil"/>
            </w:tcBorders>
            <w:shd w:val="clear" w:color="auto" w:fill="auto"/>
            <w:noWrap/>
            <w:vAlign w:val="bottom"/>
            <w:hideMark/>
          </w:tcPr>
          <w:p w14:paraId="567F22AD"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single" w:sz="4" w:space="0" w:color="9BC2E6"/>
              <w:right w:val="nil"/>
            </w:tcBorders>
            <w:shd w:val="clear" w:color="auto" w:fill="auto"/>
            <w:noWrap/>
            <w:vAlign w:val="bottom"/>
            <w:hideMark/>
          </w:tcPr>
          <w:p w14:paraId="66623597"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1008" w:type="dxa"/>
            <w:gridSpan w:val="5"/>
            <w:tcBorders>
              <w:top w:val="single" w:sz="4" w:space="0" w:color="auto"/>
              <w:left w:val="nil"/>
              <w:bottom w:val="single" w:sz="4" w:space="0" w:color="9BC2E6"/>
              <w:right w:val="nil"/>
            </w:tcBorders>
            <w:shd w:val="clear" w:color="auto" w:fill="auto"/>
            <w:noWrap/>
            <w:vAlign w:val="bottom"/>
            <w:hideMark/>
          </w:tcPr>
          <w:p w14:paraId="60AECD87"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0 </w:t>
            </w:r>
          </w:p>
        </w:tc>
        <w:tc>
          <w:tcPr>
            <w:tcW w:w="665" w:type="dxa"/>
            <w:gridSpan w:val="3"/>
            <w:tcBorders>
              <w:top w:val="single" w:sz="4" w:space="0" w:color="auto"/>
              <w:left w:val="nil"/>
              <w:bottom w:val="single" w:sz="4" w:space="0" w:color="9BC2E6"/>
              <w:right w:val="nil"/>
            </w:tcBorders>
            <w:shd w:val="clear" w:color="auto" w:fill="auto"/>
            <w:noWrap/>
            <w:vAlign w:val="bottom"/>
            <w:hideMark/>
          </w:tcPr>
          <w:p w14:paraId="2D0F8E8F"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59.07</w:t>
            </w:r>
          </w:p>
        </w:tc>
        <w:tc>
          <w:tcPr>
            <w:tcW w:w="975" w:type="dxa"/>
            <w:gridSpan w:val="2"/>
            <w:tcBorders>
              <w:top w:val="single" w:sz="4" w:space="0" w:color="auto"/>
              <w:left w:val="nil"/>
              <w:bottom w:val="single" w:sz="4" w:space="0" w:color="9BC2E6"/>
              <w:right w:val="single" w:sz="4" w:space="0" w:color="auto"/>
            </w:tcBorders>
            <w:shd w:val="clear" w:color="auto" w:fill="auto"/>
            <w:noWrap/>
            <w:vAlign w:val="bottom"/>
            <w:hideMark/>
          </w:tcPr>
          <w:p w14:paraId="48DCC79C"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7,293,440 </w:t>
            </w:r>
          </w:p>
        </w:tc>
      </w:tr>
      <w:tr w:rsidR="00971A7A" w:rsidRPr="00971A7A" w14:paraId="5E8ABA87"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054862D8"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1100-Maintenance</w:t>
            </w:r>
          </w:p>
        </w:tc>
        <w:tc>
          <w:tcPr>
            <w:tcW w:w="1016" w:type="dxa"/>
            <w:gridSpan w:val="2"/>
            <w:tcBorders>
              <w:top w:val="nil"/>
              <w:left w:val="nil"/>
              <w:bottom w:val="nil"/>
              <w:right w:val="nil"/>
            </w:tcBorders>
            <w:shd w:val="clear" w:color="auto" w:fill="auto"/>
            <w:noWrap/>
            <w:vAlign w:val="bottom"/>
            <w:hideMark/>
          </w:tcPr>
          <w:p w14:paraId="4504A487"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10.77</w:t>
            </w:r>
          </w:p>
        </w:tc>
        <w:tc>
          <w:tcPr>
            <w:tcW w:w="1232" w:type="dxa"/>
            <w:gridSpan w:val="2"/>
            <w:tcBorders>
              <w:top w:val="nil"/>
              <w:left w:val="nil"/>
              <w:bottom w:val="nil"/>
              <w:right w:val="nil"/>
            </w:tcBorders>
            <w:shd w:val="clear" w:color="auto" w:fill="auto"/>
            <w:noWrap/>
            <w:vAlign w:val="bottom"/>
            <w:hideMark/>
          </w:tcPr>
          <w:p w14:paraId="5E28A163"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1,674,730 </w:t>
            </w:r>
          </w:p>
        </w:tc>
        <w:tc>
          <w:tcPr>
            <w:tcW w:w="643" w:type="dxa"/>
            <w:gridSpan w:val="3"/>
            <w:tcBorders>
              <w:top w:val="nil"/>
              <w:left w:val="nil"/>
              <w:bottom w:val="nil"/>
              <w:right w:val="nil"/>
            </w:tcBorders>
            <w:shd w:val="clear" w:color="auto" w:fill="auto"/>
            <w:noWrap/>
            <w:vAlign w:val="bottom"/>
            <w:hideMark/>
          </w:tcPr>
          <w:p w14:paraId="57C444B4"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nil"/>
              <w:left w:val="nil"/>
              <w:bottom w:val="nil"/>
              <w:right w:val="nil"/>
            </w:tcBorders>
            <w:shd w:val="clear" w:color="auto" w:fill="auto"/>
            <w:noWrap/>
            <w:vAlign w:val="bottom"/>
            <w:hideMark/>
          </w:tcPr>
          <w:p w14:paraId="1F8CA341"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715FC3BC"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nil"/>
              <w:right w:val="nil"/>
            </w:tcBorders>
            <w:shd w:val="clear" w:color="auto" w:fill="auto"/>
            <w:noWrap/>
            <w:vAlign w:val="bottom"/>
            <w:hideMark/>
          </w:tcPr>
          <w:p w14:paraId="01E4FC4F"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nil"/>
              <w:right w:val="nil"/>
            </w:tcBorders>
            <w:shd w:val="clear" w:color="auto" w:fill="auto"/>
            <w:noWrap/>
            <w:vAlign w:val="bottom"/>
            <w:hideMark/>
          </w:tcPr>
          <w:p w14:paraId="48B023A9"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10.77</w:t>
            </w:r>
          </w:p>
        </w:tc>
        <w:tc>
          <w:tcPr>
            <w:tcW w:w="975" w:type="dxa"/>
            <w:gridSpan w:val="2"/>
            <w:tcBorders>
              <w:top w:val="nil"/>
              <w:left w:val="nil"/>
              <w:bottom w:val="nil"/>
              <w:right w:val="single" w:sz="4" w:space="0" w:color="auto"/>
            </w:tcBorders>
            <w:shd w:val="clear" w:color="auto" w:fill="auto"/>
            <w:noWrap/>
            <w:vAlign w:val="bottom"/>
            <w:hideMark/>
          </w:tcPr>
          <w:p w14:paraId="2854F6BF"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1,674,730 </w:t>
            </w:r>
          </w:p>
        </w:tc>
      </w:tr>
      <w:tr w:rsidR="00971A7A" w:rsidRPr="00971A7A" w14:paraId="087F765A"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0B22AF47"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1110-Corrective</w:t>
            </w:r>
          </w:p>
        </w:tc>
        <w:tc>
          <w:tcPr>
            <w:tcW w:w="1016" w:type="dxa"/>
            <w:gridSpan w:val="2"/>
            <w:tcBorders>
              <w:top w:val="nil"/>
              <w:left w:val="nil"/>
              <w:bottom w:val="nil"/>
              <w:right w:val="nil"/>
            </w:tcBorders>
            <w:shd w:val="clear" w:color="auto" w:fill="auto"/>
            <w:noWrap/>
            <w:vAlign w:val="bottom"/>
            <w:hideMark/>
          </w:tcPr>
          <w:p w14:paraId="4CAAEF4A"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2.05</w:t>
            </w:r>
          </w:p>
        </w:tc>
        <w:tc>
          <w:tcPr>
            <w:tcW w:w="1232" w:type="dxa"/>
            <w:gridSpan w:val="2"/>
            <w:tcBorders>
              <w:top w:val="nil"/>
              <w:left w:val="nil"/>
              <w:bottom w:val="nil"/>
              <w:right w:val="nil"/>
            </w:tcBorders>
            <w:shd w:val="clear" w:color="auto" w:fill="auto"/>
            <w:noWrap/>
            <w:vAlign w:val="bottom"/>
            <w:hideMark/>
          </w:tcPr>
          <w:p w14:paraId="54AAC213"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941,270 </w:t>
            </w:r>
          </w:p>
        </w:tc>
        <w:tc>
          <w:tcPr>
            <w:tcW w:w="643" w:type="dxa"/>
            <w:gridSpan w:val="3"/>
            <w:tcBorders>
              <w:top w:val="nil"/>
              <w:left w:val="nil"/>
              <w:bottom w:val="nil"/>
              <w:right w:val="nil"/>
            </w:tcBorders>
            <w:shd w:val="clear" w:color="auto" w:fill="auto"/>
            <w:noWrap/>
            <w:vAlign w:val="bottom"/>
            <w:hideMark/>
          </w:tcPr>
          <w:p w14:paraId="35E424BA"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0C61B489"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1B57B1C1"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nil"/>
              <w:right w:val="nil"/>
            </w:tcBorders>
            <w:shd w:val="clear" w:color="auto" w:fill="auto"/>
            <w:noWrap/>
            <w:vAlign w:val="bottom"/>
            <w:hideMark/>
          </w:tcPr>
          <w:p w14:paraId="0E4B059E"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nil"/>
              <w:right w:val="nil"/>
            </w:tcBorders>
            <w:shd w:val="clear" w:color="auto" w:fill="auto"/>
            <w:noWrap/>
            <w:vAlign w:val="bottom"/>
            <w:hideMark/>
          </w:tcPr>
          <w:p w14:paraId="6F234354"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2.05</w:t>
            </w:r>
          </w:p>
        </w:tc>
        <w:tc>
          <w:tcPr>
            <w:tcW w:w="975" w:type="dxa"/>
            <w:gridSpan w:val="2"/>
            <w:tcBorders>
              <w:top w:val="nil"/>
              <w:left w:val="nil"/>
              <w:bottom w:val="nil"/>
              <w:right w:val="single" w:sz="4" w:space="0" w:color="auto"/>
            </w:tcBorders>
            <w:shd w:val="clear" w:color="auto" w:fill="auto"/>
            <w:noWrap/>
            <w:vAlign w:val="bottom"/>
            <w:hideMark/>
          </w:tcPr>
          <w:p w14:paraId="36DAF1EA"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941,270 </w:t>
            </w:r>
          </w:p>
        </w:tc>
      </w:tr>
      <w:tr w:rsidR="00971A7A" w:rsidRPr="00971A7A" w14:paraId="0F8379B9"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1CEC1418"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1120-Preventive</w:t>
            </w:r>
          </w:p>
        </w:tc>
        <w:tc>
          <w:tcPr>
            <w:tcW w:w="1016" w:type="dxa"/>
            <w:gridSpan w:val="2"/>
            <w:tcBorders>
              <w:top w:val="nil"/>
              <w:left w:val="nil"/>
              <w:bottom w:val="single" w:sz="4" w:space="0" w:color="auto"/>
              <w:right w:val="nil"/>
            </w:tcBorders>
            <w:shd w:val="clear" w:color="auto" w:fill="auto"/>
            <w:noWrap/>
            <w:vAlign w:val="bottom"/>
            <w:hideMark/>
          </w:tcPr>
          <w:p w14:paraId="27CB9571"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8.72</w:t>
            </w:r>
          </w:p>
        </w:tc>
        <w:tc>
          <w:tcPr>
            <w:tcW w:w="1232" w:type="dxa"/>
            <w:gridSpan w:val="2"/>
            <w:tcBorders>
              <w:top w:val="nil"/>
              <w:left w:val="nil"/>
              <w:bottom w:val="single" w:sz="4" w:space="0" w:color="auto"/>
              <w:right w:val="nil"/>
            </w:tcBorders>
            <w:shd w:val="clear" w:color="auto" w:fill="auto"/>
            <w:noWrap/>
            <w:vAlign w:val="bottom"/>
            <w:hideMark/>
          </w:tcPr>
          <w:p w14:paraId="4830D6C8"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733,461 </w:t>
            </w:r>
          </w:p>
        </w:tc>
        <w:tc>
          <w:tcPr>
            <w:tcW w:w="643" w:type="dxa"/>
            <w:gridSpan w:val="3"/>
            <w:tcBorders>
              <w:top w:val="nil"/>
              <w:left w:val="nil"/>
              <w:bottom w:val="single" w:sz="4" w:space="0" w:color="auto"/>
              <w:right w:val="nil"/>
            </w:tcBorders>
            <w:shd w:val="clear" w:color="auto" w:fill="auto"/>
            <w:noWrap/>
            <w:vAlign w:val="bottom"/>
            <w:hideMark/>
          </w:tcPr>
          <w:p w14:paraId="14ACA27B"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3DE20AC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23C4095A"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single" w:sz="4" w:space="0" w:color="auto"/>
              <w:right w:val="nil"/>
            </w:tcBorders>
            <w:shd w:val="clear" w:color="auto" w:fill="auto"/>
            <w:noWrap/>
            <w:vAlign w:val="bottom"/>
            <w:hideMark/>
          </w:tcPr>
          <w:p w14:paraId="32A776BF"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single" w:sz="4" w:space="0" w:color="auto"/>
              <w:right w:val="nil"/>
            </w:tcBorders>
            <w:shd w:val="clear" w:color="auto" w:fill="auto"/>
            <w:noWrap/>
            <w:vAlign w:val="bottom"/>
            <w:hideMark/>
          </w:tcPr>
          <w:p w14:paraId="5D8347F0"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8.72</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106BB821"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733,461 </w:t>
            </w:r>
          </w:p>
        </w:tc>
      </w:tr>
      <w:tr w:rsidR="00971A7A" w:rsidRPr="00971A7A" w14:paraId="74B58262"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41E1565E"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1200-Operations</w:t>
            </w:r>
          </w:p>
        </w:tc>
        <w:tc>
          <w:tcPr>
            <w:tcW w:w="1016" w:type="dxa"/>
            <w:gridSpan w:val="2"/>
            <w:tcBorders>
              <w:top w:val="single" w:sz="4" w:space="0" w:color="auto"/>
              <w:left w:val="nil"/>
              <w:bottom w:val="nil"/>
              <w:right w:val="nil"/>
            </w:tcBorders>
            <w:shd w:val="clear" w:color="auto" w:fill="auto"/>
            <w:noWrap/>
            <w:vAlign w:val="bottom"/>
            <w:hideMark/>
          </w:tcPr>
          <w:p w14:paraId="7CBB3BC5"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36.9</w:t>
            </w:r>
          </w:p>
        </w:tc>
        <w:tc>
          <w:tcPr>
            <w:tcW w:w="1232" w:type="dxa"/>
            <w:gridSpan w:val="2"/>
            <w:tcBorders>
              <w:top w:val="single" w:sz="4" w:space="0" w:color="auto"/>
              <w:left w:val="nil"/>
              <w:bottom w:val="nil"/>
              <w:right w:val="nil"/>
            </w:tcBorders>
            <w:shd w:val="clear" w:color="auto" w:fill="auto"/>
            <w:noWrap/>
            <w:vAlign w:val="bottom"/>
            <w:hideMark/>
          </w:tcPr>
          <w:p w14:paraId="35F0FCC9"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3,947,554 </w:t>
            </w:r>
          </w:p>
        </w:tc>
        <w:tc>
          <w:tcPr>
            <w:tcW w:w="643" w:type="dxa"/>
            <w:gridSpan w:val="3"/>
            <w:tcBorders>
              <w:top w:val="single" w:sz="4" w:space="0" w:color="auto"/>
              <w:left w:val="nil"/>
              <w:bottom w:val="nil"/>
              <w:right w:val="nil"/>
            </w:tcBorders>
            <w:shd w:val="clear" w:color="auto" w:fill="auto"/>
            <w:noWrap/>
            <w:vAlign w:val="bottom"/>
            <w:hideMark/>
          </w:tcPr>
          <w:p w14:paraId="791E8D8C"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24292E98"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5AED4513"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single" w:sz="4" w:space="0" w:color="auto"/>
              <w:left w:val="nil"/>
              <w:bottom w:val="nil"/>
              <w:right w:val="nil"/>
            </w:tcBorders>
            <w:shd w:val="clear" w:color="auto" w:fill="auto"/>
            <w:noWrap/>
            <w:vAlign w:val="bottom"/>
            <w:hideMark/>
          </w:tcPr>
          <w:p w14:paraId="5B7FCB28"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nil"/>
              <w:right w:val="nil"/>
            </w:tcBorders>
            <w:shd w:val="clear" w:color="auto" w:fill="auto"/>
            <w:noWrap/>
            <w:vAlign w:val="bottom"/>
            <w:hideMark/>
          </w:tcPr>
          <w:p w14:paraId="50A1B4E4"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36.9</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66A5763A"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3,947,554 </w:t>
            </w:r>
          </w:p>
        </w:tc>
      </w:tr>
      <w:tr w:rsidR="00971A7A" w:rsidRPr="00971A7A" w14:paraId="5997E340"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7257D858"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1210-Scheduling</w:t>
            </w:r>
          </w:p>
        </w:tc>
        <w:tc>
          <w:tcPr>
            <w:tcW w:w="1016" w:type="dxa"/>
            <w:gridSpan w:val="2"/>
            <w:tcBorders>
              <w:top w:val="nil"/>
              <w:left w:val="nil"/>
              <w:bottom w:val="nil"/>
              <w:right w:val="nil"/>
            </w:tcBorders>
            <w:shd w:val="clear" w:color="auto" w:fill="auto"/>
            <w:noWrap/>
            <w:vAlign w:val="bottom"/>
            <w:hideMark/>
          </w:tcPr>
          <w:p w14:paraId="2F1393CB"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0.33</w:t>
            </w:r>
          </w:p>
        </w:tc>
        <w:tc>
          <w:tcPr>
            <w:tcW w:w="1232" w:type="dxa"/>
            <w:gridSpan w:val="2"/>
            <w:tcBorders>
              <w:top w:val="nil"/>
              <w:left w:val="nil"/>
              <w:bottom w:val="nil"/>
              <w:right w:val="nil"/>
            </w:tcBorders>
            <w:shd w:val="clear" w:color="auto" w:fill="auto"/>
            <w:noWrap/>
            <w:vAlign w:val="bottom"/>
            <w:hideMark/>
          </w:tcPr>
          <w:p w14:paraId="1D1994E9"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53,041 </w:t>
            </w:r>
          </w:p>
        </w:tc>
        <w:tc>
          <w:tcPr>
            <w:tcW w:w="643" w:type="dxa"/>
            <w:gridSpan w:val="3"/>
            <w:tcBorders>
              <w:top w:val="nil"/>
              <w:left w:val="nil"/>
              <w:bottom w:val="nil"/>
              <w:right w:val="nil"/>
            </w:tcBorders>
            <w:shd w:val="clear" w:color="auto" w:fill="auto"/>
            <w:noWrap/>
            <w:vAlign w:val="bottom"/>
            <w:hideMark/>
          </w:tcPr>
          <w:p w14:paraId="79727107"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36671733"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2BF1CA88"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nil"/>
              <w:right w:val="nil"/>
            </w:tcBorders>
            <w:shd w:val="clear" w:color="auto" w:fill="auto"/>
            <w:noWrap/>
            <w:vAlign w:val="bottom"/>
            <w:hideMark/>
          </w:tcPr>
          <w:p w14:paraId="75F3966D"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nil"/>
              <w:right w:val="nil"/>
            </w:tcBorders>
            <w:shd w:val="clear" w:color="auto" w:fill="auto"/>
            <w:noWrap/>
            <w:vAlign w:val="bottom"/>
            <w:hideMark/>
          </w:tcPr>
          <w:p w14:paraId="1CDEB754"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0.33</w:t>
            </w:r>
          </w:p>
        </w:tc>
        <w:tc>
          <w:tcPr>
            <w:tcW w:w="975" w:type="dxa"/>
            <w:gridSpan w:val="2"/>
            <w:tcBorders>
              <w:top w:val="nil"/>
              <w:left w:val="nil"/>
              <w:bottom w:val="nil"/>
              <w:right w:val="single" w:sz="4" w:space="0" w:color="auto"/>
            </w:tcBorders>
            <w:shd w:val="clear" w:color="auto" w:fill="auto"/>
            <w:noWrap/>
            <w:vAlign w:val="bottom"/>
            <w:hideMark/>
          </w:tcPr>
          <w:p w14:paraId="272BE25D"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53,041 </w:t>
            </w:r>
          </w:p>
        </w:tc>
      </w:tr>
      <w:tr w:rsidR="00971A7A" w:rsidRPr="00971A7A" w14:paraId="0BFFCA82"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32F5E372"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1220-Operating</w:t>
            </w:r>
          </w:p>
        </w:tc>
        <w:tc>
          <w:tcPr>
            <w:tcW w:w="1016" w:type="dxa"/>
            <w:gridSpan w:val="2"/>
            <w:tcBorders>
              <w:top w:val="nil"/>
              <w:left w:val="nil"/>
              <w:bottom w:val="nil"/>
              <w:right w:val="nil"/>
            </w:tcBorders>
            <w:shd w:val="clear" w:color="auto" w:fill="auto"/>
            <w:noWrap/>
            <w:vAlign w:val="bottom"/>
            <w:hideMark/>
          </w:tcPr>
          <w:p w14:paraId="1E23540C"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16.85</w:t>
            </w:r>
          </w:p>
        </w:tc>
        <w:tc>
          <w:tcPr>
            <w:tcW w:w="1232" w:type="dxa"/>
            <w:gridSpan w:val="2"/>
            <w:tcBorders>
              <w:top w:val="nil"/>
              <w:left w:val="nil"/>
              <w:bottom w:val="nil"/>
              <w:right w:val="nil"/>
            </w:tcBorders>
            <w:shd w:val="clear" w:color="auto" w:fill="auto"/>
            <w:noWrap/>
            <w:vAlign w:val="bottom"/>
            <w:hideMark/>
          </w:tcPr>
          <w:p w14:paraId="4C5C1CB6"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1,570,477 </w:t>
            </w:r>
          </w:p>
        </w:tc>
        <w:tc>
          <w:tcPr>
            <w:tcW w:w="643" w:type="dxa"/>
            <w:gridSpan w:val="3"/>
            <w:tcBorders>
              <w:top w:val="nil"/>
              <w:left w:val="nil"/>
              <w:bottom w:val="nil"/>
              <w:right w:val="nil"/>
            </w:tcBorders>
            <w:shd w:val="clear" w:color="auto" w:fill="auto"/>
            <w:noWrap/>
            <w:vAlign w:val="bottom"/>
            <w:hideMark/>
          </w:tcPr>
          <w:p w14:paraId="04C64F7B"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46E3E199"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2F52821A"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nil"/>
              <w:right w:val="nil"/>
            </w:tcBorders>
            <w:shd w:val="clear" w:color="auto" w:fill="auto"/>
            <w:noWrap/>
            <w:vAlign w:val="bottom"/>
            <w:hideMark/>
          </w:tcPr>
          <w:p w14:paraId="0B55D8EB"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nil"/>
              <w:right w:val="nil"/>
            </w:tcBorders>
            <w:shd w:val="clear" w:color="auto" w:fill="auto"/>
            <w:noWrap/>
            <w:vAlign w:val="bottom"/>
            <w:hideMark/>
          </w:tcPr>
          <w:p w14:paraId="776F6F0F"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16.85</w:t>
            </w:r>
          </w:p>
        </w:tc>
        <w:tc>
          <w:tcPr>
            <w:tcW w:w="975" w:type="dxa"/>
            <w:gridSpan w:val="2"/>
            <w:tcBorders>
              <w:top w:val="nil"/>
              <w:left w:val="nil"/>
              <w:bottom w:val="nil"/>
              <w:right w:val="single" w:sz="4" w:space="0" w:color="auto"/>
            </w:tcBorders>
            <w:shd w:val="clear" w:color="auto" w:fill="auto"/>
            <w:noWrap/>
            <w:vAlign w:val="bottom"/>
            <w:hideMark/>
          </w:tcPr>
          <w:p w14:paraId="09047B6D"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1,570,477 </w:t>
            </w:r>
          </w:p>
        </w:tc>
      </w:tr>
      <w:tr w:rsidR="00971A7A" w:rsidRPr="00971A7A" w14:paraId="15328F20"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6F08A2C2"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1230-Support &amp; Testing</w:t>
            </w:r>
          </w:p>
        </w:tc>
        <w:tc>
          <w:tcPr>
            <w:tcW w:w="1016" w:type="dxa"/>
            <w:gridSpan w:val="2"/>
            <w:tcBorders>
              <w:top w:val="nil"/>
              <w:left w:val="nil"/>
              <w:bottom w:val="single" w:sz="4" w:space="0" w:color="auto"/>
              <w:right w:val="nil"/>
            </w:tcBorders>
            <w:shd w:val="clear" w:color="auto" w:fill="auto"/>
            <w:noWrap/>
            <w:vAlign w:val="bottom"/>
            <w:hideMark/>
          </w:tcPr>
          <w:p w14:paraId="3958DBE5"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19.72</w:t>
            </w:r>
          </w:p>
        </w:tc>
        <w:tc>
          <w:tcPr>
            <w:tcW w:w="1232" w:type="dxa"/>
            <w:gridSpan w:val="2"/>
            <w:tcBorders>
              <w:top w:val="nil"/>
              <w:left w:val="nil"/>
              <w:bottom w:val="single" w:sz="4" w:space="0" w:color="auto"/>
              <w:right w:val="nil"/>
            </w:tcBorders>
            <w:shd w:val="clear" w:color="auto" w:fill="auto"/>
            <w:noWrap/>
            <w:vAlign w:val="bottom"/>
            <w:hideMark/>
          </w:tcPr>
          <w:p w14:paraId="20F8BDEE"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2,324,037 </w:t>
            </w:r>
          </w:p>
        </w:tc>
        <w:tc>
          <w:tcPr>
            <w:tcW w:w="643" w:type="dxa"/>
            <w:gridSpan w:val="3"/>
            <w:tcBorders>
              <w:top w:val="nil"/>
              <w:left w:val="nil"/>
              <w:bottom w:val="single" w:sz="4" w:space="0" w:color="auto"/>
              <w:right w:val="nil"/>
            </w:tcBorders>
            <w:shd w:val="clear" w:color="auto" w:fill="auto"/>
            <w:noWrap/>
            <w:vAlign w:val="bottom"/>
            <w:hideMark/>
          </w:tcPr>
          <w:p w14:paraId="019B0FDB"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34BC0778"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2C77684E"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single" w:sz="4" w:space="0" w:color="auto"/>
              <w:right w:val="nil"/>
            </w:tcBorders>
            <w:shd w:val="clear" w:color="auto" w:fill="auto"/>
            <w:noWrap/>
            <w:vAlign w:val="bottom"/>
            <w:hideMark/>
          </w:tcPr>
          <w:p w14:paraId="7BE931EA"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single" w:sz="4" w:space="0" w:color="auto"/>
              <w:right w:val="nil"/>
            </w:tcBorders>
            <w:shd w:val="clear" w:color="auto" w:fill="auto"/>
            <w:noWrap/>
            <w:vAlign w:val="bottom"/>
            <w:hideMark/>
          </w:tcPr>
          <w:p w14:paraId="3C2CE1B2"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19.72</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20DB3951"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2,324,037 </w:t>
            </w:r>
          </w:p>
        </w:tc>
      </w:tr>
      <w:tr w:rsidR="00971A7A" w:rsidRPr="00971A7A" w14:paraId="26D13E77"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4FA98907"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1300-Spectrum Management</w:t>
            </w:r>
          </w:p>
        </w:tc>
        <w:tc>
          <w:tcPr>
            <w:tcW w:w="1016" w:type="dxa"/>
            <w:gridSpan w:val="2"/>
            <w:tcBorders>
              <w:top w:val="single" w:sz="4" w:space="0" w:color="auto"/>
              <w:left w:val="nil"/>
              <w:bottom w:val="nil"/>
              <w:right w:val="nil"/>
            </w:tcBorders>
            <w:shd w:val="clear" w:color="auto" w:fill="auto"/>
            <w:noWrap/>
            <w:vAlign w:val="bottom"/>
            <w:hideMark/>
          </w:tcPr>
          <w:p w14:paraId="35FAB98B"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2.95</w:t>
            </w:r>
          </w:p>
        </w:tc>
        <w:tc>
          <w:tcPr>
            <w:tcW w:w="1232" w:type="dxa"/>
            <w:gridSpan w:val="2"/>
            <w:tcBorders>
              <w:top w:val="single" w:sz="4" w:space="0" w:color="auto"/>
              <w:left w:val="nil"/>
              <w:bottom w:val="nil"/>
              <w:right w:val="nil"/>
            </w:tcBorders>
            <w:shd w:val="clear" w:color="auto" w:fill="auto"/>
            <w:noWrap/>
            <w:vAlign w:val="bottom"/>
            <w:hideMark/>
          </w:tcPr>
          <w:p w14:paraId="6EACE7D4"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295,985 </w:t>
            </w:r>
          </w:p>
        </w:tc>
        <w:tc>
          <w:tcPr>
            <w:tcW w:w="643" w:type="dxa"/>
            <w:gridSpan w:val="3"/>
            <w:tcBorders>
              <w:top w:val="single" w:sz="4" w:space="0" w:color="auto"/>
              <w:left w:val="nil"/>
              <w:bottom w:val="nil"/>
              <w:right w:val="nil"/>
            </w:tcBorders>
            <w:shd w:val="clear" w:color="auto" w:fill="auto"/>
            <w:noWrap/>
            <w:vAlign w:val="bottom"/>
            <w:hideMark/>
          </w:tcPr>
          <w:p w14:paraId="7A46A427"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03145AFE"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3EF36843"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1008" w:type="dxa"/>
            <w:gridSpan w:val="5"/>
            <w:tcBorders>
              <w:top w:val="single" w:sz="4" w:space="0" w:color="auto"/>
              <w:left w:val="nil"/>
              <w:bottom w:val="nil"/>
              <w:right w:val="nil"/>
            </w:tcBorders>
            <w:shd w:val="clear" w:color="auto" w:fill="auto"/>
            <w:noWrap/>
            <w:vAlign w:val="bottom"/>
            <w:hideMark/>
          </w:tcPr>
          <w:p w14:paraId="1AF3AFB5"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0 </w:t>
            </w:r>
          </w:p>
        </w:tc>
        <w:tc>
          <w:tcPr>
            <w:tcW w:w="665" w:type="dxa"/>
            <w:gridSpan w:val="3"/>
            <w:tcBorders>
              <w:top w:val="single" w:sz="4" w:space="0" w:color="auto"/>
              <w:left w:val="nil"/>
              <w:bottom w:val="nil"/>
              <w:right w:val="nil"/>
            </w:tcBorders>
            <w:shd w:val="clear" w:color="auto" w:fill="auto"/>
            <w:noWrap/>
            <w:vAlign w:val="bottom"/>
            <w:hideMark/>
          </w:tcPr>
          <w:p w14:paraId="11A86350"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2.95</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03F69C27"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295,985 </w:t>
            </w:r>
          </w:p>
        </w:tc>
      </w:tr>
      <w:tr w:rsidR="00971A7A" w:rsidRPr="00971A7A" w14:paraId="4C7D6012"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44561AD8"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1310-Interference Suppression</w:t>
            </w:r>
          </w:p>
        </w:tc>
        <w:tc>
          <w:tcPr>
            <w:tcW w:w="1016" w:type="dxa"/>
            <w:gridSpan w:val="2"/>
            <w:tcBorders>
              <w:top w:val="nil"/>
              <w:left w:val="nil"/>
              <w:bottom w:val="nil"/>
              <w:right w:val="nil"/>
            </w:tcBorders>
            <w:shd w:val="clear" w:color="auto" w:fill="auto"/>
            <w:noWrap/>
            <w:vAlign w:val="bottom"/>
            <w:hideMark/>
          </w:tcPr>
          <w:p w14:paraId="3650B27A"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1.85</w:t>
            </w:r>
          </w:p>
        </w:tc>
        <w:tc>
          <w:tcPr>
            <w:tcW w:w="1232" w:type="dxa"/>
            <w:gridSpan w:val="2"/>
            <w:tcBorders>
              <w:top w:val="nil"/>
              <w:left w:val="nil"/>
              <w:bottom w:val="nil"/>
              <w:right w:val="nil"/>
            </w:tcBorders>
            <w:shd w:val="clear" w:color="auto" w:fill="auto"/>
            <w:noWrap/>
            <w:vAlign w:val="bottom"/>
            <w:hideMark/>
          </w:tcPr>
          <w:p w14:paraId="50DBBC46"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215,027 </w:t>
            </w:r>
          </w:p>
        </w:tc>
        <w:tc>
          <w:tcPr>
            <w:tcW w:w="643" w:type="dxa"/>
            <w:gridSpan w:val="3"/>
            <w:tcBorders>
              <w:top w:val="nil"/>
              <w:left w:val="nil"/>
              <w:bottom w:val="nil"/>
              <w:right w:val="nil"/>
            </w:tcBorders>
            <w:shd w:val="clear" w:color="auto" w:fill="auto"/>
            <w:noWrap/>
            <w:vAlign w:val="bottom"/>
            <w:hideMark/>
          </w:tcPr>
          <w:p w14:paraId="18D2ADFC"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65696D3E"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1890D56B"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1008" w:type="dxa"/>
            <w:gridSpan w:val="5"/>
            <w:tcBorders>
              <w:top w:val="nil"/>
              <w:left w:val="nil"/>
              <w:bottom w:val="nil"/>
              <w:right w:val="nil"/>
            </w:tcBorders>
            <w:shd w:val="clear" w:color="auto" w:fill="auto"/>
            <w:noWrap/>
            <w:vAlign w:val="bottom"/>
            <w:hideMark/>
          </w:tcPr>
          <w:p w14:paraId="075820F2"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0 </w:t>
            </w:r>
          </w:p>
        </w:tc>
        <w:tc>
          <w:tcPr>
            <w:tcW w:w="665" w:type="dxa"/>
            <w:gridSpan w:val="3"/>
            <w:tcBorders>
              <w:top w:val="nil"/>
              <w:left w:val="nil"/>
              <w:bottom w:val="nil"/>
              <w:right w:val="nil"/>
            </w:tcBorders>
            <w:shd w:val="clear" w:color="auto" w:fill="auto"/>
            <w:noWrap/>
            <w:vAlign w:val="bottom"/>
            <w:hideMark/>
          </w:tcPr>
          <w:p w14:paraId="5AF4AACB"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1.85</w:t>
            </w:r>
          </w:p>
        </w:tc>
        <w:tc>
          <w:tcPr>
            <w:tcW w:w="975" w:type="dxa"/>
            <w:gridSpan w:val="2"/>
            <w:tcBorders>
              <w:top w:val="nil"/>
              <w:left w:val="nil"/>
              <w:bottom w:val="nil"/>
              <w:right w:val="single" w:sz="4" w:space="0" w:color="auto"/>
            </w:tcBorders>
            <w:shd w:val="clear" w:color="auto" w:fill="auto"/>
            <w:noWrap/>
            <w:vAlign w:val="bottom"/>
            <w:hideMark/>
          </w:tcPr>
          <w:p w14:paraId="77492780"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215,027 </w:t>
            </w:r>
          </w:p>
        </w:tc>
      </w:tr>
      <w:tr w:rsidR="00971A7A" w:rsidRPr="00971A7A" w14:paraId="33FC2755"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00DB7513"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1320-NRQZ Management</w:t>
            </w:r>
          </w:p>
        </w:tc>
        <w:tc>
          <w:tcPr>
            <w:tcW w:w="1016" w:type="dxa"/>
            <w:gridSpan w:val="2"/>
            <w:tcBorders>
              <w:top w:val="nil"/>
              <w:left w:val="nil"/>
              <w:bottom w:val="nil"/>
              <w:right w:val="nil"/>
            </w:tcBorders>
            <w:shd w:val="clear" w:color="auto" w:fill="auto"/>
            <w:noWrap/>
            <w:vAlign w:val="bottom"/>
            <w:hideMark/>
          </w:tcPr>
          <w:p w14:paraId="7E2707E8"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1.05</w:t>
            </w:r>
          </w:p>
        </w:tc>
        <w:tc>
          <w:tcPr>
            <w:tcW w:w="1232" w:type="dxa"/>
            <w:gridSpan w:val="2"/>
            <w:tcBorders>
              <w:top w:val="nil"/>
              <w:left w:val="nil"/>
              <w:bottom w:val="nil"/>
              <w:right w:val="nil"/>
            </w:tcBorders>
            <w:shd w:val="clear" w:color="auto" w:fill="auto"/>
            <w:noWrap/>
            <w:vAlign w:val="bottom"/>
            <w:hideMark/>
          </w:tcPr>
          <w:p w14:paraId="3A673D5A"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74,244 </w:t>
            </w:r>
          </w:p>
        </w:tc>
        <w:tc>
          <w:tcPr>
            <w:tcW w:w="643" w:type="dxa"/>
            <w:gridSpan w:val="3"/>
            <w:tcBorders>
              <w:top w:val="nil"/>
              <w:left w:val="nil"/>
              <w:bottom w:val="nil"/>
              <w:right w:val="nil"/>
            </w:tcBorders>
            <w:shd w:val="clear" w:color="auto" w:fill="auto"/>
            <w:noWrap/>
            <w:vAlign w:val="bottom"/>
            <w:hideMark/>
          </w:tcPr>
          <w:p w14:paraId="25A984A2"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7351F3A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29FCF502"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1008" w:type="dxa"/>
            <w:gridSpan w:val="5"/>
            <w:tcBorders>
              <w:top w:val="nil"/>
              <w:left w:val="nil"/>
              <w:bottom w:val="nil"/>
              <w:right w:val="nil"/>
            </w:tcBorders>
            <w:shd w:val="clear" w:color="auto" w:fill="auto"/>
            <w:noWrap/>
            <w:vAlign w:val="bottom"/>
            <w:hideMark/>
          </w:tcPr>
          <w:p w14:paraId="68500F23"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0 </w:t>
            </w:r>
          </w:p>
        </w:tc>
        <w:tc>
          <w:tcPr>
            <w:tcW w:w="665" w:type="dxa"/>
            <w:gridSpan w:val="3"/>
            <w:tcBorders>
              <w:top w:val="nil"/>
              <w:left w:val="nil"/>
              <w:bottom w:val="nil"/>
              <w:right w:val="nil"/>
            </w:tcBorders>
            <w:shd w:val="clear" w:color="auto" w:fill="auto"/>
            <w:noWrap/>
            <w:vAlign w:val="bottom"/>
            <w:hideMark/>
          </w:tcPr>
          <w:p w14:paraId="6261A182"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1.05</w:t>
            </w:r>
          </w:p>
        </w:tc>
        <w:tc>
          <w:tcPr>
            <w:tcW w:w="975" w:type="dxa"/>
            <w:gridSpan w:val="2"/>
            <w:tcBorders>
              <w:top w:val="nil"/>
              <w:left w:val="nil"/>
              <w:bottom w:val="nil"/>
              <w:right w:val="single" w:sz="4" w:space="0" w:color="auto"/>
            </w:tcBorders>
            <w:shd w:val="clear" w:color="auto" w:fill="auto"/>
            <w:noWrap/>
            <w:vAlign w:val="bottom"/>
            <w:hideMark/>
          </w:tcPr>
          <w:p w14:paraId="567DD25D"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74,244 </w:t>
            </w:r>
          </w:p>
        </w:tc>
      </w:tr>
      <w:tr w:rsidR="00971A7A" w:rsidRPr="00971A7A" w14:paraId="426E67D1"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6B7DB0C8"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1330-Anechoic Chambers</w:t>
            </w:r>
          </w:p>
        </w:tc>
        <w:tc>
          <w:tcPr>
            <w:tcW w:w="1016" w:type="dxa"/>
            <w:gridSpan w:val="2"/>
            <w:tcBorders>
              <w:top w:val="nil"/>
              <w:left w:val="nil"/>
              <w:bottom w:val="single" w:sz="4" w:space="0" w:color="auto"/>
              <w:right w:val="nil"/>
            </w:tcBorders>
            <w:shd w:val="clear" w:color="auto" w:fill="auto"/>
            <w:noWrap/>
            <w:vAlign w:val="bottom"/>
            <w:hideMark/>
          </w:tcPr>
          <w:p w14:paraId="4FF3DEBE"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0.05</w:t>
            </w:r>
          </w:p>
        </w:tc>
        <w:tc>
          <w:tcPr>
            <w:tcW w:w="1232" w:type="dxa"/>
            <w:gridSpan w:val="2"/>
            <w:tcBorders>
              <w:top w:val="nil"/>
              <w:left w:val="nil"/>
              <w:bottom w:val="single" w:sz="4" w:space="0" w:color="auto"/>
              <w:right w:val="nil"/>
            </w:tcBorders>
            <w:shd w:val="clear" w:color="auto" w:fill="auto"/>
            <w:noWrap/>
            <w:vAlign w:val="bottom"/>
            <w:hideMark/>
          </w:tcPr>
          <w:p w14:paraId="59B5030D"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6,713 </w:t>
            </w:r>
          </w:p>
        </w:tc>
        <w:tc>
          <w:tcPr>
            <w:tcW w:w="643" w:type="dxa"/>
            <w:gridSpan w:val="3"/>
            <w:tcBorders>
              <w:top w:val="nil"/>
              <w:left w:val="nil"/>
              <w:bottom w:val="single" w:sz="4" w:space="0" w:color="auto"/>
              <w:right w:val="nil"/>
            </w:tcBorders>
            <w:shd w:val="clear" w:color="auto" w:fill="auto"/>
            <w:noWrap/>
            <w:vAlign w:val="bottom"/>
            <w:hideMark/>
          </w:tcPr>
          <w:p w14:paraId="1042F65F"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73F25C8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33D45B7E"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1008" w:type="dxa"/>
            <w:gridSpan w:val="5"/>
            <w:tcBorders>
              <w:top w:val="nil"/>
              <w:left w:val="nil"/>
              <w:bottom w:val="single" w:sz="4" w:space="0" w:color="auto"/>
              <w:right w:val="nil"/>
            </w:tcBorders>
            <w:shd w:val="clear" w:color="auto" w:fill="auto"/>
            <w:noWrap/>
            <w:vAlign w:val="bottom"/>
            <w:hideMark/>
          </w:tcPr>
          <w:p w14:paraId="74C6D04E"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0 </w:t>
            </w:r>
          </w:p>
        </w:tc>
        <w:tc>
          <w:tcPr>
            <w:tcW w:w="665" w:type="dxa"/>
            <w:gridSpan w:val="3"/>
            <w:tcBorders>
              <w:top w:val="nil"/>
              <w:left w:val="nil"/>
              <w:bottom w:val="single" w:sz="4" w:space="0" w:color="auto"/>
              <w:right w:val="nil"/>
            </w:tcBorders>
            <w:shd w:val="clear" w:color="auto" w:fill="auto"/>
            <w:noWrap/>
            <w:vAlign w:val="bottom"/>
            <w:hideMark/>
          </w:tcPr>
          <w:p w14:paraId="0A3230E2"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0.05</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4289FAFC"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6,713 </w:t>
            </w:r>
          </w:p>
        </w:tc>
      </w:tr>
      <w:tr w:rsidR="00971A7A" w:rsidRPr="00971A7A" w14:paraId="602FD5E5"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2091A7B3"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1400-Infrastructure Modifications &amp;</w:t>
            </w:r>
          </w:p>
        </w:tc>
        <w:tc>
          <w:tcPr>
            <w:tcW w:w="1016" w:type="dxa"/>
            <w:gridSpan w:val="2"/>
            <w:tcBorders>
              <w:top w:val="single" w:sz="4" w:space="0" w:color="auto"/>
              <w:left w:val="nil"/>
              <w:bottom w:val="nil"/>
              <w:right w:val="nil"/>
            </w:tcBorders>
            <w:shd w:val="clear" w:color="auto" w:fill="auto"/>
            <w:noWrap/>
            <w:vAlign w:val="bottom"/>
            <w:hideMark/>
          </w:tcPr>
          <w:p w14:paraId="0EDB51A7"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1232" w:type="dxa"/>
            <w:gridSpan w:val="2"/>
            <w:tcBorders>
              <w:top w:val="single" w:sz="4" w:space="0" w:color="auto"/>
              <w:left w:val="nil"/>
              <w:bottom w:val="nil"/>
              <w:right w:val="nil"/>
            </w:tcBorders>
            <w:shd w:val="clear" w:color="auto" w:fill="auto"/>
            <w:noWrap/>
            <w:vAlign w:val="bottom"/>
            <w:hideMark/>
          </w:tcPr>
          <w:p w14:paraId="0ED81C0F"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2,769 </w:t>
            </w:r>
          </w:p>
        </w:tc>
        <w:tc>
          <w:tcPr>
            <w:tcW w:w="643" w:type="dxa"/>
            <w:gridSpan w:val="3"/>
            <w:tcBorders>
              <w:top w:val="single" w:sz="4" w:space="0" w:color="auto"/>
              <w:left w:val="nil"/>
              <w:bottom w:val="nil"/>
              <w:right w:val="nil"/>
            </w:tcBorders>
            <w:shd w:val="clear" w:color="auto" w:fill="auto"/>
            <w:noWrap/>
            <w:vAlign w:val="bottom"/>
            <w:hideMark/>
          </w:tcPr>
          <w:p w14:paraId="13B91B42"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3F57621B"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165B8951"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single" w:sz="4" w:space="0" w:color="auto"/>
              <w:left w:val="nil"/>
              <w:bottom w:val="nil"/>
              <w:right w:val="nil"/>
            </w:tcBorders>
            <w:shd w:val="clear" w:color="auto" w:fill="auto"/>
            <w:noWrap/>
            <w:vAlign w:val="bottom"/>
            <w:hideMark/>
          </w:tcPr>
          <w:p w14:paraId="50AFA44B"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nil"/>
              <w:right w:val="nil"/>
            </w:tcBorders>
            <w:shd w:val="clear" w:color="auto" w:fill="auto"/>
            <w:noWrap/>
            <w:vAlign w:val="bottom"/>
            <w:hideMark/>
          </w:tcPr>
          <w:p w14:paraId="7D3EB01A"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68F6D3FF"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2,769 </w:t>
            </w:r>
          </w:p>
        </w:tc>
      </w:tr>
      <w:tr w:rsidR="00971A7A" w:rsidRPr="00971A7A" w14:paraId="7089D292"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262DA07D"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1420-Modifications</w:t>
            </w:r>
          </w:p>
        </w:tc>
        <w:tc>
          <w:tcPr>
            <w:tcW w:w="1016" w:type="dxa"/>
            <w:gridSpan w:val="2"/>
            <w:tcBorders>
              <w:top w:val="nil"/>
              <w:left w:val="nil"/>
              <w:bottom w:val="single" w:sz="4" w:space="0" w:color="auto"/>
              <w:right w:val="nil"/>
            </w:tcBorders>
            <w:shd w:val="clear" w:color="auto" w:fill="auto"/>
            <w:noWrap/>
            <w:vAlign w:val="bottom"/>
            <w:hideMark/>
          </w:tcPr>
          <w:p w14:paraId="3F729D46"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1232" w:type="dxa"/>
            <w:gridSpan w:val="2"/>
            <w:tcBorders>
              <w:top w:val="nil"/>
              <w:left w:val="nil"/>
              <w:bottom w:val="single" w:sz="4" w:space="0" w:color="auto"/>
              <w:right w:val="nil"/>
            </w:tcBorders>
            <w:shd w:val="clear" w:color="auto" w:fill="auto"/>
            <w:noWrap/>
            <w:vAlign w:val="bottom"/>
            <w:hideMark/>
          </w:tcPr>
          <w:p w14:paraId="2B08534F"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2,769 </w:t>
            </w:r>
          </w:p>
        </w:tc>
        <w:tc>
          <w:tcPr>
            <w:tcW w:w="643" w:type="dxa"/>
            <w:gridSpan w:val="3"/>
            <w:tcBorders>
              <w:top w:val="nil"/>
              <w:left w:val="nil"/>
              <w:bottom w:val="single" w:sz="4" w:space="0" w:color="auto"/>
              <w:right w:val="nil"/>
            </w:tcBorders>
            <w:shd w:val="clear" w:color="auto" w:fill="auto"/>
            <w:noWrap/>
            <w:vAlign w:val="bottom"/>
            <w:hideMark/>
          </w:tcPr>
          <w:p w14:paraId="7970BF1C"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756084F6"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12D9D1DF"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single" w:sz="4" w:space="0" w:color="auto"/>
              <w:right w:val="nil"/>
            </w:tcBorders>
            <w:shd w:val="clear" w:color="auto" w:fill="auto"/>
            <w:noWrap/>
            <w:vAlign w:val="bottom"/>
            <w:hideMark/>
          </w:tcPr>
          <w:p w14:paraId="49551F4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single" w:sz="4" w:space="0" w:color="auto"/>
              <w:right w:val="nil"/>
            </w:tcBorders>
            <w:shd w:val="clear" w:color="auto" w:fill="auto"/>
            <w:noWrap/>
            <w:vAlign w:val="bottom"/>
            <w:hideMark/>
          </w:tcPr>
          <w:p w14:paraId="619D69F0"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6EF60E27"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2,769 </w:t>
            </w:r>
          </w:p>
        </w:tc>
      </w:tr>
      <w:tr w:rsidR="00971A7A" w:rsidRPr="00971A7A" w14:paraId="23751E94"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72601429"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1500-Management</w:t>
            </w:r>
          </w:p>
        </w:tc>
        <w:tc>
          <w:tcPr>
            <w:tcW w:w="1016" w:type="dxa"/>
            <w:gridSpan w:val="2"/>
            <w:tcBorders>
              <w:top w:val="single" w:sz="4" w:space="0" w:color="auto"/>
              <w:left w:val="nil"/>
              <w:bottom w:val="nil"/>
              <w:right w:val="nil"/>
            </w:tcBorders>
            <w:shd w:val="clear" w:color="auto" w:fill="auto"/>
            <w:noWrap/>
            <w:vAlign w:val="bottom"/>
            <w:hideMark/>
          </w:tcPr>
          <w:p w14:paraId="6AF2631A"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8.45</w:t>
            </w:r>
          </w:p>
        </w:tc>
        <w:tc>
          <w:tcPr>
            <w:tcW w:w="1232" w:type="dxa"/>
            <w:gridSpan w:val="2"/>
            <w:tcBorders>
              <w:top w:val="single" w:sz="4" w:space="0" w:color="auto"/>
              <w:left w:val="nil"/>
              <w:bottom w:val="nil"/>
              <w:right w:val="nil"/>
            </w:tcBorders>
            <w:shd w:val="clear" w:color="auto" w:fill="auto"/>
            <w:noWrap/>
            <w:vAlign w:val="bottom"/>
            <w:hideMark/>
          </w:tcPr>
          <w:p w14:paraId="6FD0C02C"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1,372,402 </w:t>
            </w:r>
          </w:p>
        </w:tc>
        <w:tc>
          <w:tcPr>
            <w:tcW w:w="643" w:type="dxa"/>
            <w:gridSpan w:val="3"/>
            <w:tcBorders>
              <w:top w:val="single" w:sz="4" w:space="0" w:color="auto"/>
              <w:left w:val="nil"/>
              <w:bottom w:val="nil"/>
              <w:right w:val="nil"/>
            </w:tcBorders>
            <w:shd w:val="clear" w:color="auto" w:fill="auto"/>
            <w:noWrap/>
            <w:vAlign w:val="bottom"/>
            <w:hideMark/>
          </w:tcPr>
          <w:p w14:paraId="36694F32"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01100AB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5F77778D"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single" w:sz="4" w:space="0" w:color="auto"/>
              <w:left w:val="nil"/>
              <w:bottom w:val="nil"/>
              <w:right w:val="nil"/>
            </w:tcBorders>
            <w:shd w:val="clear" w:color="auto" w:fill="auto"/>
            <w:noWrap/>
            <w:vAlign w:val="bottom"/>
            <w:hideMark/>
          </w:tcPr>
          <w:p w14:paraId="0532461A"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nil"/>
              <w:right w:val="nil"/>
            </w:tcBorders>
            <w:shd w:val="clear" w:color="auto" w:fill="auto"/>
            <w:noWrap/>
            <w:vAlign w:val="bottom"/>
            <w:hideMark/>
          </w:tcPr>
          <w:p w14:paraId="74B80545"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8.45</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52AF2040"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1,372,402 </w:t>
            </w:r>
          </w:p>
        </w:tc>
      </w:tr>
      <w:tr w:rsidR="00971A7A" w:rsidRPr="00971A7A" w14:paraId="644F642C"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5F22D9BF" w14:textId="22076299"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1510-Telescope </w:t>
            </w:r>
            <w:r w:rsidR="009924E1">
              <w:rPr>
                <w:rFonts w:ascii="Calibri" w:eastAsia="Times New Roman" w:hAnsi="Calibri" w:cs="Calibri"/>
                <w:color w:val="000000"/>
                <w:sz w:val="16"/>
                <w:szCs w:val="16"/>
              </w:rPr>
              <w:t xml:space="preserve">  O</w:t>
            </w:r>
            <w:r w:rsidRPr="00971A7A">
              <w:rPr>
                <w:rFonts w:ascii="Calibri" w:eastAsia="Times New Roman" w:hAnsi="Calibri" w:cs="Calibri"/>
                <w:color w:val="000000"/>
                <w:sz w:val="16"/>
                <w:szCs w:val="16"/>
              </w:rPr>
              <w:t xml:space="preserve">perations </w:t>
            </w:r>
            <w:proofErr w:type="spellStart"/>
            <w:r w:rsidRPr="00971A7A">
              <w:rPr>
                <w:rFonts w:ascii="Calibri" w:eastAsia="Times New Roman" w:hAnsi="Calibri" w:cs="Calibri"/>
                <w:color w:val="000000"/>
                <w:sz w:val="16"/>
                <w:szCs w:val="16"/>
              </w:rPr>
              <w:t>Mgmt</w:t>
            </w:r>
            <w:proofErr w:type="spellEnd"/>
          </w:p>
        </w:tc>
        <w:tc>
          <w:tcPr>
            <w:tcW w:w="1016" w:type="dxa"/>
            <w:gridSpan w:val="2"/>
            <w:tcBorders>
              <w:top w:val="nil"/>
              <w:left w:val="nil"/>
              <w:bottom w:val="nil"/>
              <w:right w:val="nil"/>
            </w:tcBorders>
            <w:shd w:val="clear" w:color="auto" w:fill="auto"/>
            <w:noWrap/>
            <w:vAlign w:val="bottom"/>
            <w:hideMark/>
          </w:tcPr>
          <w:p w14:paraId="57086740"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1.88</w:t>
            </w:r>
          </w:p>
        </w:tc>
        <w:tc>
          <w:tcPr>
            <w:tcW w:w="1232" w:type="dxa"/>
            <w:gridSpan w:val="2"/>
            <w:tcBorders>
              <w:top w:val="nil"/>
              <w:left w:val="nil"/>
              <w:bottom w:val="nil"/>
              <w:right w:val="nil"/>
            </w:tcBorders>
            <w:shd w:val="clear" w:color="auto" w:fill="auto"/>
            <w:noWrap/>
            <w:vAlign w:val="bottom"/>
            <w:hideMark/>
          </w:tcPr>
          <w:p w14:paraId="786DED8B"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291,117 </w:t>
            </w:r>
          </w:p>
        </w:tc>
        <w:tc>
          <w:tcPr>
            <w:tcW w:w="643" w:type="dxa"/>
            <w:gridSpan w:val="3"/>
            <w:tcBorders>
              <w:top w:val="nil"/>
              <w:left w:val="nil"/>
              <w:bottom w:val="nil"/>
              <w:right w:val="nil"/>
            </w:tcBorders>
            <w:shd w:val="clear" w:color="auto" w:fill="auto"/>
            <w:noWrap/>
            <w:vAlign w:val="bottom"/>
            <w:hideMark/>
          </w:tcPr>
          <w:p w14:paraId="2C3EF1E5"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05D2B689"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7FB15F29"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nil"/>
              <w:right w:val="nil"/>
            </w:tcBorders>
            <w:shd w:val="clear" w:color="auto" w:fill="auto"/>
            <w:noWrap/>
            <w:vAlign w:val="bottom"/>
            <w:hideMark/>
          </w:tcPr>
          <w:p w14:paraId="529CAD57"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nil"/>
              <w:right w:val="nil"/>
            </w:tcBorders>
            <w:shd w:val="clear" w:color="auto" w:fill="auto"/>
            <w:noWrap/>
            <w:vAlign w:val="bottom"/>
            <w:hideMark/>
          </w:tcPr>
          <w:p w14:paraId="5FB2CFC6"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1.88</w:t>
            </w:r>
          </w:p>
        </w:tc>
        <w:tc>
          <w:tcPr>
            <w:tcW w:w="975" w:type="dxa"/>
            <w:gridSpan w:val="2"/>
            <w:tcBorders>
              <w:top w:val="nil"/>
              <w:left w:val="nil"/>
              <w:bottom w:val="nil"/>
              <w:right w:val="single" w:sz="4" w:space="0" w:color="auto"/>
            </w:tcBorders>
            <w:shd w:val="clear" w:color="auto" w:fill="auto"/>
            <w:noWrap/>
            <w:vAlign w:val="bottom"/>
            <w:hideMark/>
          </w:tcPr>
          <w:p w14:paraId="69D9D1B8"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291,117 </w:t>
            </w:r>
          </w:p>
        </w:tc>
      </w:tr>
      <w:tr w:rsidR="00971A7A" w:rsidRPr="00971A7A" w14:paraId="1F992DAE"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54C2CE24"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1520-Science Support </w:t>
            </w:r>
            <w:proofErr w:type="spellStart"/>
            <w:r w:rsidRPr="00971A7A">
              <w:rPr>
                <w:rFonts w:ascii="Calibri" w:eastAsia="Times New Roman" w:hAnsi="Calibri" w:cs="Calibri"/>
                <w:color w:val="000000"/>
                <w:sz w:val="16"/>
                <w:szCs w:val="16"/>
              </w:rPr>
              <w:t>Mgmt</w:t>
            </w:r>
            <w:proofErr w:type="spellEnd"/>
          </w:p>
        </w:tc>
        <w:tc>
          <w:tcPr>
            <w:tcW w:w="1016" w:type="dxa"/>
            <w:gridSpan w:val="2"/>
            <w:tcBorders>
              <w:top w:val="nil"/>
              <w:left w:val="nil"/>
              <w:bottom w:val="nil"/>
              <w:right w:val="nil"/>
            </w:tcBorders>
            <w:shd w:val="clear" w:color="auto" w:fill="auto"/>
            <w:noWrap/>
            <w:vAlign w:val="bottom"/>
            <w:hideMark/>
          </w:tcPr>
          <w:p w14:paraId="506B12F8"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2.38</w:t>
            </w:r>
          </w:p>
        </w:tc>
        <w:tc>
          <w:tcPr>
            <w:tcW w:w="1232" w:type="dxa"/>
            <w:gridSpan w:val="2"/>
            <w:tcBorders>
              <w:top w:val="nil"/>
              <w:left w:val="nil"/>
              <w:bottom w:val="nil"/>
              <w:right w:val="nil"/>
            </w:tcBorders>
            <w:shd w:val="clear" w:color="auto" w:fill="auto"/>
            <w:noWrap/>
            <w:vAlign w:val="bottom"/>
            <w:hideMark/>
          </w:tcPr>
          <w:p w14:paraId="36C39068"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486,400 </w:t>
            </w:r>
          </w:p>
        </w:tc>
        <w:tc>
          <w:tcPr>
            <w:tcW w:w="643" w:type="dxa"/>
            <w:gridSpan w:val="3"/>
            <w:tcBorders>
              <w:top w:val="nil"/>
              <w:left w:val="nil"/>
              <w:bottom w:val="nil"/>
              <w:right w:val="nil"/>
            </w:tcBorders>
            <w:shd w:val="clear" w:color="auto" w:fill="auto"/>
            <w:noWrap/>
            <w:vAlign w:val="bottom"/>
            <w:hideMark/>
          </w:tcPr>
          <w:p w14:paraId="0787B73B"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7C8D16EA"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4BB50FF6"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nil"/>
              <w:right w:val="nil"/>
            </w:tcBorders>
            <w:shd w:val="clear" w:color="auto" w:fill="auto"/>
            <w:noWrap/>
            <w:vAlign w:val="bottom"/>
            <w:hideMark/>
          </w:tcPr>
          <w:p w14:paraId="7C321B11"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nil"/>
              <w:right w:val="nil"/>
            </w:tcBorders>
            <w:shd w:val="clear" w:color="auto" w:fill="auto"/>
            <w:noWrap/>
            <w:vAlign w:val="bottom"/>
            <w:hideMark/>
          </w:tcPr>
          <w:p w14:paraId="29455F0D"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2.38</w:t>
            </w:r>
          </w:p>
        </w:tc>
        <w:tc>
          <w:tcPr>
            <w:tcW w:w="975" w:type="dxa"/>
            <w:gridSpan w:val="2"/>
            <w:tcBorders>
              <w:top w:val="nil"/>
              <w:left w:val="nil"/>
              <w:bottom w:val="nil"/>
              <w:right w:val="single" w:sz="4" w:space="0" w:color="auto"/>
            </w:tcBorders>
            <w:shd w:val="clear" w:color="auto" w:fill="auto"/>
            <w:noWrap/>
            <w:vAlign w:val="bottom"/>
            <w:hideMark/>
          </w:tcPr>
          <w:p w14:paraId="655C4392"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486,400 </w:t>
            </w:r>
          </w:p>
        </w:tc>
      </w:tr>
      <w:tr w:rsidR="00971A7A" w:rsidRPr="00971A7A" w14:paraId="626BF024"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527A266E"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1530-Mechanical Engineering </w:t>
            </w:r>
            <w:proofErr w:type="spellStart"/>
            <w:r w:rsidRPr="00971A7A">
              <w:rPr>
                <w:rFonts w:ascii="Calibri" w:eastAsia="Times New Roman" w:hAnsi="Calibri" w:cs="Calibri"/>
                <w:color w:val="000000"/>
                <w:sz w:val="16"/>
                <w:szCs w:val="16"/>
              </w:rPr>
              <w:t>Mgmt</w:t>
            </w:r>
            <w:proofErr w:type="spellEnd"/>
          </w:p>
        </w:tc>
        <w:tc>
          <w:tcPr>
            <w:tcW w:w="1016" w:type="dxa"/>
            <w:gridSpan w:val="2"/>
            <w:tcBorders>
              <w:top w:val="nil"/>
              <w:left w:val="nil"/>
              <w:bottom w:val="nil"/>
              <w:right w:val="nil"/>
            </w:tcBorders>
            <w:shd w:val="clear" w:color="auto" w:fill="auto"/>
            <w:noWrap/>
            <w:vAlign w:val="bottom"/>
            <w:hideMark/>
          </w:tcPr>
          <w:p w14:paraId="332128F9"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0.88</w:t>
            </w:r>
          </w:p>
        </w:tc>
        <w:tc>
          <w:tcPr>
            <w:tcW w:w="1232" w:type="dxa"/>
            <w:gridSpan w:val="2"/>
            <w:tcBorders>
              <w:top w:val="nil"/>
              <w:left w:val="nil"/>
              <w:bottom w:val="nil"/>
              <w:right w:val="nil"/>
            </w:tcBorders>
            <w:shd w:val="clear" w:color="auto" w:fill="auto"/>
            <w:noWrap/>
            <w:vAlign w:val="bottom"/>
            <w:hideMark/>
          </w:tcPr>
          <w:p w14:paraId="1A2D9839"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156,375 </w:t>
            </w:r>
          </w:p>
        </w:tc>
        <w:tc>
          <w:tcPr>
            <w:tcW w:w="643" w:type="dxa"/>
            <w:gridSpan w:val="3"/>
            <w:tcBorders>
              <w:top w:val="nil"/>
              <w:left w:val="nil"/>
              <w:bottom w:val="nil"/>
              <w:right w:val="nil"/>
            </w:tcBorders>
            <w:shd w:val="clear" w:color="auto" w:fill="auto"/>
            <w:noWrap/>
            <w:vAlign w:val="bottom"/>
            <w:hideMark/>
          </w:tcPr>
          <w:p w14:paraId="62358C49"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3B53B498"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15441086"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nil"/>
              <w:right w:val="nil"/>
            </w:tcBorders>
            <w:shd w:val="clear" w:color="auto" w:fill="auto"/>
            <w:noWrap/>
            <w:vAlign w:val="bottom"/>
            <w:hideMark/>
          </w:tcPr>
          <w:p w14:paraId="6F3AAE5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nil"/>
              <w:right w:val="nil"/>
            </w:tcBorders>
            <w:shd w:val="clear" w:color="auto" w:fill="auto"/>
            <w:noWrap/>
            <w:vAlign w:val="bottom"/>
            <w:hideMark/>
          </w:tcPr>
          <w:p w14:paraId="393EE1EC"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0.88</w:t>
            </w:r>
          </w:p>
        </w:tc>
        <w:tc>
          <w:tcPr>
            <w:tcW w:w="975" w:type="dxa"/>
            <w:gridSpan w:val="2"/>
            <w:tcBorders>
              <w:top w:val="nil"/>
              <w:left w:val="nil"/>
              <w:bottom w:val="nil"/>
              <w:right w:val="single" w:sz="4" w:space="0" w:color="auto"/>
            </w:tcBorders>
            <w:shd w:val="clear" w:color="auto" w:fill="auto"/>
            <w:noWrap/>
            <w:vAlign w:val="bottom"/>
            <w:hideMark/>
          </w:tcPr>
          <w:p w14:paraId="3C6DFC11"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156,375 </w:t>
            </w:r>
          </w:p>
        </w:tc>
      </w:tr>
      <w:tr w:rsidR="00971A7A" w:rsidRPr="00971A7A" w14:paraId="7CCC2F22"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61E8785B"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1540-Electronics </w:t>
            </w:r>
            <w:proofErr w:type="spellStart"/>
            <w:r w:rsidRPr="00971A7A">
              <w:rPr>
                <w:rFonts w:ascii="Calibri" w:eastAsia="Times New Roman" w:hAnsi="Calibri" w:cs="Calibri"/>
                <w:color w:val="000000"/>
                <w:sz w:val="16"/>
                <w:szCs w:val="16"/>
              </w:rPr>
              <w:t>Mgmt</w:t>
            </w:r>
            <w:proofErr w:type="spellEnd"/>
          </w:p>
        </w:tc>
        <w:tc>
          <w:tcPr>
            <w:tcW w:w="1016" w:type="dxa"/>
            <w:gridSpan w:val="2"/>
            <w:tcBorders>
              <w:top w:val="nil"/>
              <w:left w:val="nil"/>
              <w:bottom w:val="nil"/>
              <w:right w:val="nil"/>
            </w:tcBorders>
            <w:shd w:val="clear" w:color="auto" w:fill="auto"/>
            <w:noWrap/>
            <w:vAlign w:val="bottom"/>
            <w:hideMark/>
          </w:tcPr>
          <w:p w14:paraId="2E5E2EC0"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1.34</w:t>
            </w:r>
          </w:p>
        </w:tc>
        <w:tc>
          <w:tcPr>
            <w:tcW w:w="1232" w:type="dxa"/>
            <w:gridSpan w:val="2"/>
            <w:tcBorders>
              <w:top w:val="nil"/>
              <w:left w:val="nil"/>
              <w:bottom w:val="nil"/>
              <w:right w:val="nil"/>
            </w:tcBorders>
            <w:shd w:val="clear" w:color="auto" w:fill="auto"/>
            <w:noWrap/>
            <w:vAlign w:val="bottom"/>
            <w:hideMark/>
          </w:tcPr>
          <w:p w14:paraId="6E34409B"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163,977 </w:t>
            </w:r>
          </w:p>
        </w:tc>
        <w:tc>
          <w:tcPr>
            <w:tcW w:w="643" w:type="dxa"/>
            <w:gridSpan w:val="3"/>
            <w:tcBorders>
              <w:top w:val="nil"/>
              <w:left w:val="nil"/>
              <w:bottom w:val="nil"/>
              <w:right w:val="nil"/>
            </w:tcBorders>
            <w:shd w:val="clear" w:color="auto" w:fill="auto"/>
            <w:noWrap/>
            <w:vAlign w:val="bottom"/>
            <w:hideMark/>
          </w:tcPr>
          <w:p w14:paraId="659F77BD"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31C16A33"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6413E684"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nil"/>
              <w:right w:val="nil"/>
            </w:tcBorders>
            <w:shd w:val="clear" w:color="auto" w:fill="auto"/>
            <w:noWrap/>
            <w:vAlign w:val="bottom"/>
            <w:hideMark/>
          </w:tcPr>
          <w:p w14:paraId="6A7F346F"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nil"/>
              <w:right w:val="nil"/>
            </w:tcBorders>
            <w:shd w:val="clear" w:color="auto" w:fill="auto"/>
            <w:noWrap/>
            <w:vAlign w:val="bottom"/>
            <w:hideMark/>
          </w:tcPr>
          <w:p w14:paraId="2D0B8867"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1.34</w:t>
            </w:r>
          </w:p>
        </w:tc>
        <w:tc>
          <w:tcPr>
            <w:tcW w:w="975" w:type="dxa"/>
            <w:gridSpan w:val="2"/>
            <w:tcBorders>
              <w:top w:val="nil"/>
              <w:left w:val="nil"/>
              <w:bottom w:val="nil"/>
              <w:right w:val="single" w:sz="4" w:space="0" w:color="auto"/>
            </w:tcBorders>
            <w:shd w:val="clear" w:color="auto" w:fill="auto"/>
            <w:noWrap/>
            <w:vAlign w:val="bottom"/>
            <w:hideMark/>
          </w:tcPr>
          <w:p w14:paraId="2E7C977C"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163,977 </w:t>
            </w:r>
          </w:p>
        </w:tc>
      </w:tr>
      <w:tr w:rsidR="00971A7A" w:rsidRPr="00971A7A" w14:paraId="09D314BD"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4039294E"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1550-Software </w:t>
            </w:r>
            <w:proofErr w:type="spellStart"/>
            <w:r w:rsidRPr="00971A7A">
              <w:rPr>
                <w:rFonts w:ascii="Calibri" w:eastAsia="Times New Roman" w:hAnsi="Calibri" w:cs="Calibri"/>
                <w:color w:val="000000"/>
                <w:sz w:val="16"/>
                <w:szCs w:val="16"/>
              </w:rPr>
              <w:t>Mgmt</w:t>
            </w:r>
            <w:proofErr w:type="spellEnd"/>
          </w:p>
        </w:tc>
        <w:tc>
          <w:tcPr>
            <w:tcW w:w="1016" w:type="dxa"/>
            <w:gridSpan w:val="2"/>
            <w:tcBorders>
              <w:top w:val="nil"/>
              <w:left w:val="nil"/>
              <w:bottom w:val="nil"/>
              <w:right w:val="nil"/>
            </w:tcBorders>
            <w:shd w:val="clear" w:color="auto" w:fill="auto"/>
            <w:noWrap/>
            <w:vAlign w:val="bottom"/>
            <w:hideMark/>
          </w:tcPr>
          <w:p w14:paraId="6BF27C36"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0.4</w:t>
            </w:r>
          </w:p>
        </w:tc>
        <w:tc>
          <w:tcPr>
            <w:tcW w:w="1232" w:type="dxa"/>
            <w:gridSpan w:val="2"/>
            <w:tcBorders>
              <w:top w:val="nil"/>
              <w:left w:val="nil"/>
              <w:bottom w:val="nil"/>
              <w:right w:val="nil"/>
            </w:tcBorders>
            <w:shd w:val="clear" w:color="auto" w:fill="auto"/>
            <w:noWrap/>
            <w:vAlign w:val="bottom"/>
            <w:hideMark/>
          </w:tcPr>
          <w:p w14:paraId="50940C84"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67,983 </w:t>
            </w:r>
          </w:p>
        </w:tc>
        <w:tc>
          <w:tcPr>
            <w:tcW w:w="643" w:type="dxa"/>
            <w:gridSpan w:val="3"/>
            <w:tcBorders>
              <w:top w:val="nil"/>
              <w:left w:val="nil"/>
              <w:bottom w:val="nil"/>
              <w:right w:val="nil"/>
            </w:tcBorders>
            <w:shd w:val="clear" w:color="auto" w:fill="auto"/>
            <w:noWrap/>
            <w:vAlign w:val="bottom"/>
            <w:hideMark/>
          </w:tcPr>
          <w:p w14:paraId="5AB1092E"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54BA12C2"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016E8FA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nil"/>
              <w:right w:val="nil"/>
            </w:tcBorders>
            <w:shd w:val="clear" w:color="auto" w:fill="auto"/>
            <w:noWrap/>
            <w:vAlign w:val="bottom"/>
            <w:hideMark/>
          </w:tcPr>
          <w:p w14:paraId="09896764"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nil"/>
              <w:right w:val="nil"/>
            </w:tcBorders>
            <w:shd w:val="clear" w:color="auto" w:fill="auto"/>
            <w:noWrap/>
            <w:vAlign w:val="bottom"/>
            <w:hideMark/>
          </w:tcPr>
          <w:p w14:paraId="77500E84"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0.4</w:t>
            </w:r>
          </w:p>
        </w:tc>
        <w:tc>
          <w:tcPr>
            <w:tcW w:w="975" w:type="dxa"/>
            <w:gridSpan w:val="2"/>
            <w:tcBorders>
              <w:top w:val="nil"/>
              <w:left w:val="nil"/>
              <w:bottom w:val="nil"/>
              <w:right w:val="single" w:sz="4" w:space="0" w:color="auto"/>
            </w:tcBorders>
            <w:shd w:val="clear" w:color="auto" w:fill="auto"/>
            <w:noWrap/>
            <w:vAlign w:val="bottom"/>
            <w:hideMark/>
          </w:tcPr>
          <w:p w14:paraId="5549C338"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67,983 </w:t>
            </w:r>
          </w:p>
        </w:tc>
      </w:tr>
      <w:tr w:rsidR="00971A7A" w:rsidRPr="00971A7A" w14:paraId="2E5A7466"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01CF3E87"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1560-Program </w:t>
            </w:r>
            <w:proofErr w:type="spellStart"/>
            <w:r w:rsidRPr="00971A7A">
              <w:rPr>
                <w:rFonts w:ascii="Calibri" w:eastAsia="Times New Roman" w:hAnsi="Calibri" w:cs="Calibri"/>
                <w:color w:val="000000"/>
                <w:sz w:val="16"/>
                <w:szCs w:val="16"/>
              </w:rPr>
              <w:t>Mgmt</w:t>
            </w:r>
            <w:proofErr w:type="spellEnd"/>
          </w:p>
        </w:tc>
        <w:tc>
          <w:tcPr>
            <w:tcW w:w="1016" w:type="dxa"/>
            <w:gridSpan w:val="2"/>
            <w:tcBorders>
              <w:top w:val="nil"/>
              <w:left w:val="nil"/>
              <w:bottom w:val="single" w:sz="4" w:space="0" w:color="auto"/>
              <w:right w:val="nil"/>
            </w:tcBorders>
            <w:shd w:val="clear" w:color="auto" w:fill="auto"/>
            <w:noWrap/>
            <w:vAlign w:val="bottom"/>
            <w:hideMark/>
          </w:tcPr>
          <w:p w14:paraId="069E6670"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1.57</w:t>
            </w:r>
          </w:p>
        </w:tc>
        <w:tc>
          <w:tcPr>
            <w:tcW w:w="1232" w:type="dxa"/>
            <w:gridSpan w:val="2"/>
            <w:tcBorders>
              <w:top w:val="nil"/>
              <w:left w:val="nil"/>
              <w:bottom w:val="single" w:sz="4" w:space="0" w:color="auto"/>
              <w:right w:val="nil"/>
            </w:tcBorders>
            <w:shd w:val="clear" w:color="auto" w:fill="auto"/>
            <w:noWrap/>
            <w:vAlign w:val="bottom"/>
            <w:hideMark/>
          </w:tcPr>
          <w:p w14:paraId="05CC7C4F"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206,550 </w:t>
            </w:r>
          </w:p>
        </w:tc>
        <w:tc>
          <w:tcPr>
            <w:tcW w:w="643" w:type="dxa"/>
            <w:gridSpan w:val="3"/>
            <w:tcBorders>
              <w:top w:val="nil"/>
              <w:left w:val="nil"/>
              <w:bottom w:val="single" w:sz="4" w:space="0" w:color="auto"/>
              <w:right w:val="nil"/>
            </w:tcBorders>
            <w:shd w:val="clear" w:color="auto" w:fill="auto"/>
            <w:noWrap/>
            <w:vAlign w:val="bottom"/>
            <w:hideMark/>
          </w:tcPr>
          <w:p w14:paraId="10C98DDA"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1F53A06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663CF81D"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single" w:sz="4" w:space="0" w:color="auto"/>
              <w:right w:val="nil"/>
            </w:tcBorders>
            <w:shd w:val="clear" w:color="auto" w:fill="auto"/>
            <w:noWrap/>
            <w:vAlign w:val="bottom"/>
            <w:hideMark/>
          </w:tcPr>
          <w:p w14:paraId="4C075DEE"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single" w:sz="4" w:space="0" w:color="auto"/>
              <w:right w:val="nil"/>
            </w:tcBorders>
            <w:shd w:val="clear" w:color="auto" w:fill="auto"/>
            <w:noWrap/>
            <w:vAlign w:val="bottom"/>
            <w:hideMark/>
          </w:tcPr>
          <w:p w14:paraId="51AB54CB"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1.57</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34E0C7B7"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206,550 </w:t>
            </w:r>
          </w:p>
        </w:tc>
      </w:tr>
      <w:tr w:rsidR="00C75E7A" w:rsidRPr="00971A7A" w14:paraId="72D9443B" w14:textId="77777777" w:rsidTr="009924E1">
        <w:trPr>
          <w:trHeight w:val="300"/>
        </w:trPr>
        <w:tc>
          <w:tcPr>
            <w:tcW w:w="2520" w:type="dxa"/>
            <w:tcBorders>
              <w:top w:val="single" w:sz="4" w:space="0" w:color="auto"/>
              <w:left w:val="single" w:sz="4" w:space="0" w:color="auto"/>
              <w:bottom w:val="nil"/>
              <w:right w:val="nil"/>
            </w:tcBorders>
            <w:shd w:val="clear" w:color="000000" w:fill="2F75B5"/>
            <w:noWrap/>
            <w:vAlign w:val="bottom"/>
            <w:hideMark/>
          </w:tcPr>
          <w:p w14:paraId="46212AB5" w14:textId="77777777" w:rsidR="00C75E7A" w:rsidRPr="00971A7A" w:rsidRDefault="00C75E7A" w:rsidP="009A54E9">
            <w:pPr>
              <w:spacing w:after="0" w:line="240" w:lineRule="auto"/>
              <w:jc w:val="left"/>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lastRenderedPageBreak/>
              <w:t> </w:t>
            </w:r>
          </w:p>
        </w:tc>
        <w:tc>
          <w:tcPr>
            <w:tcW w:w="2069" w:type="dxa"/>
            <w:gridSpan w:val="3"/>
            <w:tcBorders>
              <w:top w:val="nil"/>
              <w:left w:val="nil"/>
              <w:bottom w:val="nil"/>
              <w:right w:val="nil"/>
            </w:tcBorders>
            <w:shd w:val="clear" w:color="000000" w:fill="2F75B5"/>
            <w:noWrap/>
            <w:vAlign w:val="bottom"/>
            <w:hideMark/>
          </w:tcPr>
          <w:p w14:paraId="01704B7B" w14:textId="77777777" w:rsidR="00C75E7A" w:rsidRPr="00971A7A" w:rsidRDefault="00C75E7A"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CSA-G</w:t>
            </w:r>
          </w:p>
        </w:tc>
        <w:tc>
          <w:tcPr>
            <w:tcW w:w="1449" w:type="dxa"/>
            <w:gridSpan w:val="6"/>
            <w:tcBorders>
              <w:top w:val="nil"/>
              <w:left w:val="nil"/>
              <w:bottom w:val="nil"/>
              <w:right w:val="nil"/>
            </w:tcBorders>
            <w:shd w:val="clear" w:color="000000" w:fill="2F75B5"/>
            <w:noWrap/>
            <w:vAlign w:val="bottom"/>
            <w:hideMark/>
          </w:tcPr>
          <w:p w14:paraId="4C0C6C79" w14:textId="77777777" w:rsidR="00C75E7A" w:rsidRPr="00971A7A" w:rsidRDefault="00C75E7A"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WFO</w:t>
            </w:r>
          </w:p>
        </w:tc>
        <w:tc>
          <w:tcPr>
            <w:tcW w:w="1460" w:type="dxa"/>
            <w:gridSpan w:val="7"/>
            <w:tcBorders>
              <w:top w:val="nil"/>
              <w:left w:val="nil"/>
              <w:bottom w:val="nil"/>
              <w:right w:val="nil"/>
            </w:tcBorders>
            <w:shd w:val="clear" w:color="000000" w:fill="2F75B5"/>
            <w:noWrap/>
            <w:vAlign w:val="bottom"/>
            <w:hideMark/>
          </w:tcPr>
          <w:p w14:paraId="13AA400B" w14:textId="77777777" w:rsidR="00C75E7A" w:rsidRPr="00971A7A" w:rsidRDefault="00C75E7A"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GBO ICC</w:t>
            </w:r>
          </w:p>
        </w:tc>
        <w:tc>
          <w:tcPr>
            <w:tcW w:w="2167" w:type="dxa"/>
            <w:gridSpan w:val="8"/>
            <w:tcBorders>
              <w:top w:val="nil"/>
              <w:left w:val="nil"/>
              <w:bottom w:val="nil"/>
              <w:right w:val="nil"/>
            </w:tcBorders>
            <w:shd w:val="clear" w:color="000000" w:fill="2F75B5"/>
            <w:noWrap/>
            <w:vAlign w:val="bottom"/>
            <w:hideMark/>
          </w:tcPr>
          <w:p w14:paraId="05679C06" w14:textId="77777777" w:rsidR="00C75E7A" w:rsidRPr="00971A7A" w:rsidRDefault="00C75E7A"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TOTAL</w:t>
            </w:r>
          </w:p>
        </w:tc>
      </w:tr>
      <w:tr w:rsidR="00C75E7A" w:rsidRPr="00971A7A" w14:paraId="4E561FBB" w14:textId="77777777" w:rsidTr="009924E1">
        <w:trPr>
          <w:trHeight w:val="300"/>
        </w:trPr>
        <w:tc>
          <w:tcPr>
            <w:tcW w:w="2520" w:type="dxa"/>
            <w:tcBorders>
              <w:top w:val="nil"/>
              <w:left w:val="nil"/>
              <w:bottom w:val="nil"/>
              <w:right w:val="nil"/>
            </w:tcBorders>
            <w:shd w:val="clear" w:color="000000" w:fill="2F75B5"/>
            <w:noWrap/>
            <w:vAlign w:val="bottom"/>
            <w:hideMark/>
          </w:tcPr>
          <w:p w14:paraId="141B722A" w14:textId="77777777" w:rsidR="00C75E7A" w:rsidRPr="00971A7A" w:rsidRDefault="00C75E7A" w:rsidP="009A54E9">
            <w:pPr>
              <w:spacing w:after="0" w:line="240" w:lineRule="auto"/>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 </w:t>
            </w:r>
          </w:p>
        </w:tc>
        <w:tc>
          <w:tcPr>
            <w:tcW w:w="903" w:type="dxa"/>
            <w:tcBorders>
              <w:top w:val="single" w:sz="4" w:space="0" w:color="auto"/>
              <w:left w:val="single" w:sz="4" w:space="0" w:color="auto"/>
              <w:bottom w:val="single" w:sz="4" w:space="0" w:color="auto"/>
              <w:right w:val="single" w:sz="4" w:space="0" w:color="auto"/>
            </w:tcBorders>
            <w:shd w:val="clear" w:color="000000" w:fill="2F75B5"/>
            <w:noWrap/>
            <w:vAlign w:val="bottom"/>
            <w:hideMark/>
          </w:tcPr>
          <w:p w14:paraId="7BF769EE" w14:textId="77777777" w:rsidR="00C75E7A" w:rsidRPr="00971A7A" w:rsidRDefault="00C75E7A"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FTE</w:t>
            </w:r>
          </w:p>
        </w:tc>
        <w:tc>
          <w:tcPr>
            <w:tcW w:w="1166" w:type="dxa"/>
            <w:gridSpan w:val="2"/>
            <w:tcBorders>
              <w:top w:val="single" w:sz="4" w:space="0" w:color="auto"/>
              <w:left w:val="nil"/>
              <w:bottom w:val="single" w:sz="4" w:space="0" w:color="auto"/>
              <w:right w:val="single" w:sz="4" w:space="0" w:color="auto"/>
            </w:tcBorders>
            <w:shd w:val="clear" w:color="000000" w:fill="2F75B5"/>
            <w:noWrap/>
            <w:vAlign w:val="bottom"/>
            <w:hideMark/>
          </w:tcPr>
          <w:p w14:paraId="5DA7C3E6" w14:textId="77777777" w:rsidR="00C75E7A" w:rsidRPr="00971A7A" w:rsidRDefault="00C75E7A"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Expenses</w:t>
            </w:r>
          </w:p>
        </w:tc>
        <w:tc>
          <w:tcPr>
            <w:tcW w:w="598" w:type="dxa"/>
            <w:gridSpan w:val="3"/>
            <w:tcBorders>
              <w:top w:val="single" w:sz="4" w:space="0" w:color="auto"/>
              <w:left w:val="nil"/>
              <w:bottom w:val="single" w:sz="4" w:space="0" w:color="auto"/>
              <w:right w:val="single" w:sz="4" w:space="0" w:color="auto"/>
            </w:tcBorders>
            <w:shd w:val="clear" w:color="000000" w:fill="2F75B5"/>
            <w:noWrap/>
            <w:vAlign w:val="bottom"/>
            <w:hideMark/>
          </w:tcPr>
          <w:p w14:paraId="081332E3" w14:textId="77777777" w:rsidR="00C75E7A" w:rsidRPr="00971A7A" w:rsidRDefault="00C75E7A"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FTE</w:t>
            </w:r>
          </w:p>
        </w:tc>
        <w:tc>
          <w:tcPr>
            <w:tcW w:w="851" w:type="dxa"/>
            <w:gridSpan w:val="3"/>
            <w:tcBorders>
              <w:top w:val="single" w:sz="4" w:space="0" w:color="auto"/>
              <w:left w:val="nil"/>
              <w:bottom w:val="single" w:sz="4" w:space="0" w:color="auto"/>
              <w:right w:val="single" w:sz="4" w:space="0" w:color="auto"/>
            </w:tcBorders>
            <w:shd w:val="clear" w:color="000000" w:fill="2F75B5"/>
            <w:noWrap/>
            <w:vAlign w:val="bottom"/>
            <w:hideMark/>
          </w:tcPr>
          <w:p w14:paraId="6393EA41" w14:textId="77777777" w:rsidR="00C75E7A" w:rsidRPr="00971A7A" w:rsidRDefault="00C75E7A"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Expenses</w:t>
            </w:r>
          </w:p>
        </w:tc>
        <w:tc>
          <w:tcPr>
            <w:tcW w:w="550" w:type="dxa"/>
            <w:gridSpan w:val="3"/>
            <w:tcBorders>
              <w:top w:val="single" w:sz="4" w:space="0" w:color="auto"/>
              <w:left w:val="nil"/>
              <w:bottom w:val="single" w:sz="4" w:space="0" w:color="auto"/>
              <w:right w:val="single" w:sz="4" w:space="0" w:color="auto"/>
            </w:tcBorders>
            <w:shd w:val="clear" w:color="000000" w:fill="2F75B5"/>
            <w:noWrap/>
            <w:vAlign w:val="bottom"/>
            <w:hideMark/>
          </w:tcPr>
          <w:p w14:paraId="3C8EBDDE" w14:textId="77777777" w:rsidR="00C75E7A" w:rsidRPr="00971A7A" w:rsidRDefault="00C75E7A"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FTE</w:t>
            </w:r>
          </w:p>
        </w:tc>
        <w:tc>
          <w:tcPr>
            <w:tcW w:w="910" w:type="dxa"/>
            <w:gridSpan w:val="4"/>
            <w:tcBorders>
              <w:top w:val="single" w:sz="4" w:space="0" w:color="auto"/>
              <w:left w:val="nil"/>
              <w:bottom w:val="single" w:sz="4" w:space="0" w:color="auto"/>
              <w:right w:val="single" w:sz="4" w:space="0" w:color="auto"/>
            </w:tcBorders>
            <w:shd w:val="clear" w:color="000000" w:fill="2F75B5"/>
            <w:noWrap/>
            <w:vAlign w:val="bottom"/>
            <w:hideMark/>
          </w:tcPr>
          <w:p w14:paraId="4B16C9F6" w14:textId="77777777" w:rsidR="00C75E7A" w:rsidRPr="00971A7A" w:rsidRDefault="00C75E7A"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Expenses</w:t>
            </w:r>
          </w:p>
        </w:tc>
        <w:tc>
          <w:tcPr>
            <w:tcW w:w="567" w:type="dxa"/>
            <w:gridSpan w:val="4"/>
            <w:tcBorders>
              <w:top w:val="single" w:sz="4" w:space="0" w:color="auto"/>
              <w:left w:val="nil"/>
              <w:bottom w:val="single" w:sz="4" w:space="0" w:color="auto"/>
              <w:right w:val="single" w:sz="4" w:space="0" w:color="auto"/>
            </w:tcBorders>
            <w:shd w:val="clear" w:color="000000" w:fill="2F75B5"/>
            <w:noWrap/>
            <w:vAlign w:val="bottom"/>
            <w:hideMark/>
          </w:tcPr>
          <w:p w14:paraId="444EB3D0" w14:textId="77777777" w:rsidR="00C75E7A" w:rsidRPr="00971A7A" w:rsidRDefault="00C75E7A"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FTE</w:t>
            </w:r>
          </w:p>
        </w:tc>
        <w:tc>
          <w:tcPr>
            <w:tcW w:w="1600" w:type="dxa"/>
            <w:gridSpan w:val="4"/>
            <w:tcBorders>
              <w:top w:val="single" w:sz="4" w:space="0" w:color="auto"/>
              <w:left w:val="nil"/>
              <w:bottom w:val="single" w:sz="4" w:space="0" w:color="auto"/>
              <w:right w:val="single" w:sz="4" w:space="0" w:color="auto"/>
            </w:tcBorders>
            <w:shd w:val="clear" w:color="000000" w:fill="2F75B5"/>
            <w:noWrap/>
            <w:vAlign w:val="bottom"/>
            <w:hideMark/>
          </w:tcPr>
          <w:p w14:paraId="1A551D6A" w14:textId="77777777" w:rsidR="00C75E7A" w:rsidRPr="00971A7A" w:rsidRDefault="00C75E7A"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Expenses</w:t>
            </w:r>
          </w:p>
        </w:tc>
      </w:tr>
      <w:tr w:rsidR="00971A7A" w:rsidRPr="00971A7A" w14:paraId="22FD871A" w14:textId="77777777" w:rsidTr="009924E1">
        <w:trPr>
          <w:gridAfter w:val="1"/>
          <w:wAfter w:w="130" w:type="dxa"/>
          <w:trHeight w:val="300"/>
        </w:trPr>
        <w:tc>
          <w:tcPr>
            <w:tcW w:w="2520" w:type="dxa"/>
            <w:tcBorders>
              <w:top w:val="single" w:sz="4" w:space="0" w:color="auto"/>
              <w:left w:val="single" w:sz="4" w:space="0" w:color="auto"/>
              <w:bottom w:val="single" w:sz="4" w:space="0" w:color="auto"/>
              <w:right w:val="nil"/>
            </w:tcBorders>
            <w:shd w:val="clear" w:color="auto" w:fill="auto"/>
            <w:noWrap/>
            <w:vAlign w:val="bottom"/>
            <w:hideMark/>
          </w:tcPr>
          <w:p w14:paraId="5F303A61" w14:textId="77777777" w:rsidR="00971A7A" w:rsidRPr="00971A7A" w:rsidRDefault="00971A7A" w:rsidP="00971A7A">
            <w:pPr>
              <w:spacing w:after="0" w:line="240" w:lineRule="auto"/>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2000-Development Programs</w:t>
            </w:r>
          </w:p>
        </w:tc>
        <w:tc>
          <w:tcPr>
            <w:tcW w:w="1016" w:type="dxa"/>
            <w:gridSpan w:val="2"/>
            <w:tcBorders>
              <w:top w:val="single" w:sz="4" w:space="0" w:color="auto"/>
              <w:left w:val="nil"/>
              <w:bottom w:val="single" w:sz="4" w:space="0" w:color="auto"/>
              <w:right w:val="nil"/>
            </w:tcBorders>
            <w:shd w:val="clear" w:color="auto" w:fill="auto"/>
            <w:noWrap/>
            <w:vAlign w:val="bottom"/>
            <w:hideMark/>
          </w:tcPr>
          <w:p w14:paraId="583C8676"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2.42</w:t>
            </w:r>
          </w:p>
        </w:tc>
        <w:tc>
          <w:tcPr>
            <w:tcW w:w="1232" w:type="dxa"/>
            <w:gridSpan w:val="2"/>
            <w:tcBorders>
              <w:top w:val="single" w:sz="4" w:space="0" w:color="auto"/>
              <w:left w:val="nil"/>
              <w:bottom w:val="single" w:sz="4" w:space="0" w:color="auto"/>
              <w:right w:val="nil"/>
            </w:tcBorders>
            <w:shd w:val="clear" w:color="auto" w:fill="auto"/>
            <w:noWrap/>
            <w:vAlign w:val="bottom"/>
            <w:hideMark/>
          </w:tcPr>
          <w:p w14:paraId="24FF33F0"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544,396 </w:t>
            </w:r>
          </w:p>
        </w:tc>
        <w:tc>
          <w:tcPr>
            <w:tcW w:w="643" w:type="dxa"/>
            <w:gridSpan w:val="3"/>
            <w:tcBorders>
              <w:top w:val="single" w:sz="4" w:space="0" w:color="auto"/>
              <w:left w:val="nil"/>
              <w:bottom w:val="single" w:sz="4" w:space="0" w:color="auto"/>
              <w:right w:val="nil"/>
            </w:tcBorders>
            <w:shd w:val="clear" w:color="auto" w:fill="auto"/>
            <w:noWrap/>
            <w:vAlign w:val="bottom"/>
            <w:hideMark/>
          </w:tcPr>
          <w:p w14:paraId="6D783435"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987" w:type="dxa"/>
            <w:gridSpan w:val="4"/>
            <w:tcBorders>
              <w:top w:val="single" w:sz="4" w:space="0" w:color="auto"/>
              <w:left w:val="nil"/>
              <w:bottom w:val="single" w:sz="4" w:space="0" w:color="auto"/>
              <w:right w:val="nil"/>
            </w:tcBorders>
            <w:shd w:val="clear" w:color="auto" w:fill="auto"/>
            <w:noWrap/>
            <w:vAlign w:val="bottom"/>
            <w:hideMark/>
          </w:tcPr>
          <w:p w14:paraId="3777D409"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400,000 </w:t>
            </w:r>
          </w:p>
        </w:tc>
        <w:tc>
          <w:tcPr>
            <w:tcW w:w="489" w:type="dxa"/>
            <w:gridSpan w:val="2"/>
            <w:tcBorders>
              <w:top w:val="single" w:sz="4" w:space="0" w:color="auto"/>
              <w:left w:val="nil"/>
              <w:bottom w:val="single" w:sz="4" w:space="0" w:color="auto"/>
              <w:right w:val="nil"/>
            </w:tcBorders>
            <w:shd w:val="clear" w:color="auto" w:fill="auto"/>
            <w:noWrap/>
            <w:vAlign w:val="bottom"/>
            <w:hideMark/>
          </w:tcPr>
          <w:p w14:paraId="0B0E1DA3"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1008" w:type="dxa"/>
            <w:gridSpan w:val="5"/>
            <w:tcBorders>
              <w:top w:val="single" w:sz="4" w:space="0" w:color="auto"/>
              <w:left w:val="nil"/>
              <w:bottom w:val="single" w:sz="4" w:space="0" w:color="auto"/>
              <w:right w:val="nil"/>
            </w:tcBorders>
            <w:shd w:val="clear" w:color="auto" w:fill="auto"/>
            <w:noWrap/>
            <w:vAlign w:val="bottom"/>
            <w:hideMark/>
          </w:tcPr>
          <w:p w14:paraId="3793AAD1"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single" w:sz="4" w:space="0" w:color="auto"/>
              <w:right w:val="nil"/>
            </w:tcBorders>
            <w:shd w:val="clear" w:color="auto" w:fill="auto"/>
            <w:noWrap/>
            <w:vAlign w:val="bottom"/>
            <w:hideMark/>
          </w:tcPr>
          <w:p w14:paraId="370CDB09"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2.42</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3BAA36"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944,396</w:t>
            </w:r>
          </w:p>
        </w:tc>
      </w:tr>
      <w:tr w:rsidR="00971A7A" w:rsidRPr="00971A7A" w14:paraId="3F8073B4" w14:textId="77777777" w:rsidTr="009924E1">
        <w:trPr>
          <w:gridAfter w:val="1"/>
          <w:wAfter w:w="130" w:type="dxa"/>
          <w:trHeight w:val="300"/>
        </w:trPr>
        <w:tc>
          <w:tcPr>
            <w:tcW w:w="2520" w:type="dxa"/>
            <w:tcBorders>
              <w:top w:val="single" w:sz="4" w:space="0" w:color="auto"/>
              <w:left w:val="single" w:sz="4" w:space="0" w:color="auto"/>
              <w:bottom w:val="single" w:sz="4" w:space="0" w:color="auto"/>
              <w:right w:val="nil"/>
            </w:tcBorders>
            <w:shd w:val="clear" w:color="auto" w:fill="auto"/>
            <w:noWrap/>
            <w:vAlign w:val="bottom"/>
            <w:hideMark/>
          </w:tcPr>
          <w:p w14:paraId="7334ADBC"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2200-Technology Development</w:t>
            </w:r>
          </w:p>
        </w:tc>
        <w:tc>
          <w:tcPr>
            <w:tcW w:w="1016" w:type="dxa"/>
            <w:gridSpan w:val="2"/>
            <w:tcBorders>
              <w:top w:val="single" w:sz="4" w:space="0" w:color="auto"/>
              <w:left w:val="nil"/>
              <w:bottom w:val="single" w:sz="4" w:space="0" w:color="auto"/>
              <w:right w:val="nil"/>
            </w:tcBorders>
            <w:shd w:val="clear" w:color="auto" w:fill="auto"/>
            <w:noWrap/>
            <w:vAlign w:val="bottom"/>
            <w:hideMark/>
          </w:tcPr>
          <w:p w14:paraId="46FA0C78"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p>
        </w:tc>
        <w:tc>
          <w:tcPr>
            <w:tcW w:w="1232" w:type="dxa"/>
            <w:gridSpan w:val="2"/>
            <w:tcBorders>
              <w:top w:val="single" w:sz="4" w:space="0" w:color="auto"/>
              <w:left w:val="nil"/>
              <w:bottom w:val="single" w:sz="4" w:space="0" w:color="auto"/>
              <w:right w:val="nil"/>
            </w:tcBorders>
            <w:shd w:val="clear" w:color="auto" w:fill="auto"/>
            <w:noWrap/>
            <w:vAlign w:val="bottom"/>
            <w:hideMark/>
          </w:tcPr>
          <w:p w14:paraId="01BD2526"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43" w:type="dxa"/>
            <w:gridSpan w:val="3"/>
            <w:tcBorders>
              <w:top w:val="single" w:sz="4" w:space="0" w:color="auto"/>
              <w:left w:val="nil"/>
              <w:bottom w:val="single" w:sz="4" w:space="0" w:color="auto"/>
              <w:right w:val="nil"/>
            </w:tcBorders>
            <w:shd w:val="clear" w:color="auto" w:fill="auto"/>
            <w:noWrap/>
            <w:vAlign w:val="bottom"/>
            <w:hideMark/>
          </w:tcPr>
          <w:p w14:paraId="5046D634"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987" w:type="dxa"/>
            <w:gridSpan w:val="4"/>
            <w:tcBorders>
              <w:top w:val="single" w:sz="4" w:space="0" w:color="auto"/>
              <w:left w:val="nil"/>
              <w:bottom w:val="single" w:sz="4" w:space="0" w:color="auto"/>
              <w:right w:val="nil"/>
            </w:tcBorders>
            <w:shd w:val="clear" w:color="auto" w:fill="auto"/>
            <w:noWrap/>
            <w:vAlign w:val="bottom"/>
            <w:hideMark/>
          </w:tcPr>
          <w:p w14:paraId="489479F6"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400,000 </w:t>
            </w:r>
          </w:p>
        </w:tc>
        <w:tc>
          <w:tcPr>
            <w:tcW w:w="489" w:type="dxa"/>
            <w:gridSpan w:val="2"/>
            <w:tcBorders>
              <w:top w:val="single" w:sz="4" w:space="0" w:color="auto"/>
              <w:left w:val="nil"/>
              <w:bottom w:val="single" w:sz="4" w:space="0" w:color="auto"/>
              <w:right w:val="nil"/>
            </w:tcBorders>
            <w:shd w:val="clear" w:color="auto" w:fill="auto"/>
            <w:noWrap/>
            <w:vAlign w:val="bottom"/>
            <w:hideMark/>
          </w:tcPr>
          <w:p w14:paraId="0317A085"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1008" w:type="dxa"/>
            <w:gridSpan w:val="5"/>
            <w:tcBorders>
              <w:top w:val="single" w:sz="4" w:space="0" w:color="auto"/>
              <w:left w:val="nil"/>
              <w:bottom w:val="single" w:sz="4" w:space="0" w:color="auto"/>
              <w:right w:val="nil"/>
            </w:tcBorders>
            <w:shd w:val="clear" w:color="auto" w:fill="auto"/>
            <w:noWrap/>
            <w:vAlign w:val="bottom"/>
            <w:hideMark/>
          </w:tcPr>
          <w:p w14:paraId="3C75D31A"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single" w:sz="4" w:space="0" w:color="auto"/>
              <w:right w:val="nil"/>
            </w:tcBorders>
            <w:shd w:val="clear" w:color="auto" w:fill="auto"/>
            <w:noWrap/>
            <w:vAlign w:val="bottom"/>
            <w:hideMark/>
          </w:tcPr>
          <w:p w14:paraId="0F305C8D"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5B3802"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400,000 </w:t>
            </w:r>
          </w:p>
        </w:tc>
      </w:tr>
      <w:tr w:rsidR="00971A7A" w:rsidRPr="00971A7A" w14:paraId="072DE1BB"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46E02755"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2300-R&amp;D Support</w:t>
            </w:r>
          </w:p>
        </w:tc>
        <w:tc>
          <w:tcPr>
            <w:tcW w:w="1016" w:type="dxa"/>
            <w:gridSpan w:val="2"/>
            <w:tcBorders>
              <w:top w:val="single" w:sz="4" w:space="0" w:color="auto"/>
              <w:left w:val="nil"/>
              <w:bottom w:val="nil"/>
              <w:right w:val="nil"/>
            </w:tcBorders>
            <w:shd w:val="clear" w:color="auto" w:fill="auto"/>
            <w:noWrap/>
            <w:vAlign w:val="bottom"/>
            <w:hideMark/>
          </w:tcPr>
          <w:p w14:paraId="2051CB29"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1.38</w:t>
            </w:r>
          </w:p>
        </w:tc>
        <w:tc>
          <w:tcPr>
            <w:tcW w:w="1232" w:type="dxa"/>
            <w:gridSpan w:val="2"/>
            <w:tcBorders>
              <w:top w:val="single" w:sz="4" w:space="0" w:color="auto"/>
              <w:left w:val="nil"/>
              <w:bottom w:val="nil"/>
              <w:right w:val="nil"/>
            </w:tcBorders>
            <w:shd w:val="clear" w:color="auto" w:fill="auto"/>
            <w:noWrap/>
            <w:vAlign w:val="bottom"/>
            <w:hideMark/>
          </w:tcPr>
          <w:p w14:paraId="7CEBB138"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323,842 </w:t>
            </w:r>
          </w:p>
        </w:tc>
        <w:tc>
          <w:tcPr>
            <w:tcW w:w="643" w:type="dxa"/>
            <w:gridSpan w:val="3"/>
            <w:tcBorders>
              <w:top w:val="single" w:sz="4" w:space="0" w:color="auto"/>
              <w:left w:val="nil"/>
              <w:bottom w:val="nil"/>
              <w:right w:val="nil"/>
            </w:tcBorders>
            <w:shd w:val="clear" w:color="auto" w:fill="auto"/>
            <w:noWrap/>
            <w:vAlign w:val="bottom"/>
            <w:hideMark/>
          </w:tcPr>
          <w:p w14:paraId="78FA9C90"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41553DD1"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7E315E5A"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single" w:sz="4" w:space="0" w:color="auto"/>
              <w:left w:val="nil"/>
              <w:bottom w:val="nil"/>
              <w:right w:val="nil"/>
            </w:tcBorders>
            <w:shd w:val="clear" w:color="auto" w:fill="auto"/>
            <w:noWrap/>
            <w:vAlign w:val="bottom"/>
            <w:hideMark/>
          </w:tcPr>
          <w:p w14:paraId="46FDA452"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nil"/>
              <w:right w:val="nil"/>
            </w:tcBorders>
            <w:shd w:val="clear" w:color="auto" w:fill="auto"/>
            <w:noWrap/>
            <w:vAlign w:val="bottom"/>
            <w:hideMark/>
          </w:tcPr>
          <w:p w14:paraId="0B95C0EC"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1.38</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0B16DD21"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323,842 </w:t>
            </w:r>
          </w:p>
        </w:tc>
      </w:tr>
      <w:tr w:rsidR="00971A7A" w:rsidRPr="00971A7A" w14:paraId="0AB043CF"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063972E4"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2330-R D Infrastructure</w:t>
            </w:r>
          </w:p>
        </w:tc>
        <w:tc>
          <w:tcPr>
            <w:tcW w:w="1016" w:type="dxa"/>
            <w:gridSpan w:val="2"/>
            <w:tcBorders>
              <w:top w:val="nil"/>
              <w:left w:val="nil"/>
              <w:bottom w:val="single" w:sz="4" w:space="0" w:color="auto"/>
              <w:right w:val="nil"/>
            </w:tcBorders>
            <w:shd w:val="clear" w:color="auto" w:fill="auto"/>
            <w:noWrap/>
            <w:vAlign w:val="bottom"/>
            <w:hideMark/>
          </w:tcPr>
          <w:p w14:paraId="64F951E5"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1.38</w:t>
            </w:r>
          </w:p>
        </w:tc>
        <w:tc>
          <w:tcPr>
            <w:tcW w:w="1232" w:type="dxa"/>
            <w:gridSpan w:val="2"/>
            <w:tcBorders>
              <w:top w:val="nil"/>
              <w:left w:val="nil"/>
              <w:bottom w:val="single" w:sz="4" w:space="0" w:color="auto"/>
              <w:right w:val="nil"/>
            </w:tcBorders>
            <w:shd w:val="clear" w:color="auto" w:fill="auto"/>
            <w:noWrap/>
            <w:vAlign w:val="bottom"/>
            <w:hideMark/>
          </w:tcPr>
          <w:p w14:paraId="4BC79974"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323,842 </w:t>
            </w:r>
          </w:p>
        </w:tc>
        <w:tc>
          <w:tcPr>
            <w:tcW w:w="643" w:type="dxa"/>
            <w:gridSpan w:val="3"/>
            <w:tcBorders>
              <w:top w:val="nil"/>
              <w:left w:val="nil"/>
              <w:bottom w:val="single" w:sz="4" w:space="0" w:color="auto"/>
              <w:right w:val="nil"/>
            </w:tcBorders>
            <w:shd w:val="clear" w:color="auto" w:fill="auto"/>
            <w:noWrap/>
            <w:vAlign w:val="bottom"/>
            <w:hideMark/>
          </w:tcPr>
          <w:p w14:paraId="4356DA1F"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75FAAF13"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2D1B679C"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single" w:sz="4" w:space="0" w:color="auto"/>
              <w:right w:val="nil"/>
            </w:tcBorders>
            <w:shd w:val="clear" w:color="auto" w:fill="auto"/>
            <w:noWrap/>
            <w:vAlign w:val="bottom"/>
            <w:hideMark/>
          </w:tcPr>
          <w:p w14:paraId="0F62A151"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single" w:sz="4" w:space="0" w:color="auto"/>
              <w:right w:val="nil"/>
            </w:tcBorders>
            <w:shd w:val="clear" w:color="auto" w:fill="auto"/>
            <w:noWrap/>
            <w:vAlign w:val="bottom"/>
            <w:hideMark/>
          </w:tcPr>
          <w:p w14:paraId="55D36B81"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1.38</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2AD00DDB"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323,842 </w:t>
            </w:r>
          </w:p>
        </w:tc>
      </w:tr>
      <w:tr w:rsidR="00971A7A" w:rsidRPr="00971A7A" w14:paraId="13ADCD29" w14:textId="77777777" w:rsidTr="009924E1">
        <w:trPr>
          <w:gridAfter w:val="1"/>
          <w:wAfter w:w="130" w:type="dxa"/>
          <w:trHeight w:val="300"/>
        </w:trPr>
        <w:tc>
          <w:tcPr>
            <w:tcW w:w="2520" w:type="dxa"/>
            <w:tcBorders>
              <w:top w:val="single" w:sz="4" w:space="0" w:color="auto"/>
              <w:left w:val="single" w:sz="4" w:space="0" w:color="auto"/>
              <w:bottom w:val="single" w:sz="4" w:space="0" w:color="auto"/>
              <w:right w:val="nil"/>
            </w:tcBorders>
            <w:shd w:val="clear" w:color="auto" w:fill="auto"/>
            <w:noWrap/>
            <w:vAlign w:val="bottom"/>
            <w:hideMark/>
          </w:tcPr>
          <w:p w14:paraId="272606FC"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2600-NRDZ Development</w:t>
            </w:r>
          </w:p>
        </w:tc>
        <w:tc>
          <w:tcPr>
            <w:tcW w:w="1016" w:type="dxa"/>
            <w:gridSpan w:val="2"/>
            <w:tcBorders>
              <w:top w:val="single" w:sz="4" w:space="0" w:color="auto"/>
              <w:left w:val="nil"/>
              <w:bottom w:val="single" w:sz="4" w:space="0" w:color="auto"/>
              <w:right w:val="nil"/>
            </w:tcBorders>
            <w:shd w:val="clear" w:color="auto" w:fill="auto"/>
            <w:noWrap/>
            <w:vAlign w:val="bottom"/>
            <w:hideMark/>
          </w:tcPr>
          <w:p w14:paraId="78E6C085"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1.04</w:t>
            </w:r>
          </w:p>
        </w:tc>
        <w:tc>
          <w:tcPr>
            <w:tcW w:w="1232" w:type="dxa"/>
            <w:gridSpan w:val="2"/>
            <w:tcBorders>
              <w:top w:val="single" w:sz="4" w:space="0" w:color="auto"/>
              <w:left w:val="nil"/>
              <w:bottom w:val="single" w:sz="4" w:space="0" w:color="auto"/>
              <w:right w:val="nil"/>
            </w:tcBorders>
            <w:shd w:val="clear" w:color="auto" w:fill="auto"/>
            <w:noWrap/>
            <w:vAlign w:val="bottom"/>
            <w:hideMark/>
          </w:tcPr>
          <w:p w14:paraId="47749964"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220,554 </w:t>
            </w:r>
          </w:p>
        </w:tc>
        <w:tc>
          <w:tcPr>
            <w:tcW w:w="643" w:type="dxa"/>
            <w:gridSpan w:val="3"/>
            <w:tcBorders>
              <w:top w:val="single" w:sz="4" w:space="0" w:color="auto"/>
              <w:left w:val="nil"/>
              <w:bottom w:val="single" w:sz="4" w:space="0" w:color="auto"/>
              <w:right w:val="nil"/>
            </w:tcBorders>
            <w:shd w:val="clear" w:color="auto" w:fill="auto"/>
            <w:noWrap/>
            <w:vAlign w:val="bottom"/>
            <w:hideMark/>
          </w:tcPr>
          <w:p w14:paraId="5F2D5A88"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single" w:sz="4" w:space="0" w:color="auto"/>
              <w:right w:val="nil"/>
            </w:tcBorders>
            <w:shd w:val="clear" w:color="auto" w:fill="auto"/>
            <w:noWrap/>
            <w:vAlign w:val="bottom"/>
            <w:hideMark/>
          </w:tcPr>
          <w:p w14:paraId="69F6FF00"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single" w:sz="4" w:space="0" w:color="auto"/>
              <w:right w:val="nil"/>
            </w:tcBorders>
            <w:shd w:val="clear" w:color="auto" w:fill="auto"/>
            <w:noWrap/>
            <w:vAlign w:val="bottom"/>
            <w:hideMark/>
          </w:tcPr>
          <w:p w14:paraId="43A19CE9"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single" w:sz="4" w:space="0" w:color="auto"/>
              <w:left w:val="nil"/>
              <w:bottom w:val="single" w:sz="4" w:space="0" w:color="auto"/>
              <w:right w:val="nil"/>
            </w:tcBorders>
            <w:shd w:val="clear" w:color="auto" w:fill="auto"/>
            <w:noWrap/>
            <w:vAlign w:val="bottom"/>
            <w:hideMark/>
          </w:tcPr>
          <w:p w14:paraId="2A0D5E6D"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single" w:sz="4" w:space="0" w:color="auto"/>
              <w:right w:val="nil"/>
            </w:tcBorders>
            <w:shd w:val="clear" w:color="auto" w:fill="auto"/>
            <w:noWrap/>
            <w:vAlign w:val="bottom"/>
            <w:hideMark/>
          </w:tcPr>
          <w:p w14:paraId="5DEC55E2"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1.04</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A7BA95"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220,554 </w:t>
            </w:r>
          </w:p>
        </w:tc>
      </w:tr>
      <w:tr w:rsidR="00971A7A" w:rsidRPr="00971A7A" w14:paraId="12ACA0CA" w14:textId="77777777" w:rsidTr="009924E1">
        <w:trPr>
          <w:gridAfter w:val="1"/>
          <w:wAfter w:w="130" w:type="dxa"/>
          <w:trHeight w:val="300"/>
        </w:trPr>
        <w:tc>
          <w:tcPr>
            <w:tcW w:w="2520" w:type="dxa"/>
            <w:tcBorders>
              <w:top w:val="single" w:sz="4" w:space="0" w:color="auto"/>
              <w:left w:val="single" w:sz="4" w:space="0" w:color="auto"/>
              <w:bottom w:val="single" w:sz="4" w:space="0" w:color="auto"/>
              <w:right w:val="nil"/>
            </w:tcBorders>
            <w:shd w:val="clear" w:color="auto" w:fill="auto"/>
            <w:noWrap/>
            <w:vAlign w:val="bottom"/>
            <w:hideMark/>
          </w:tcPr>
          <w:p w14:paraId="0DA44802" w14:textId="77777777" w:rsidR="00971A7A" w:rsidRPr="00971A7A" w:rsidRDefault="00971A7A" w:rsidP="00971A7A">
            <w:pPr>
              <w:spacing w:after="0" w:line="240" w:lineRule="auto"/>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3000-Science Operations</w:t>
            </w:r>
          </w:p>
        </w:tc>
        <w:tc>
          <w:tcPr>
            <w:tcW w:w="1016" w:type="dxa"/>
            <w:gridSpan w:val="2"/>
            <w:tcBorders>
              <w:top w:val="single" w:sz="4" w:space="0" w:color="auto"/>
              <w:left w:val="nil"/>
              <w:bottom w:val="single" w:sz="4" w:space="0" w:color="auto"/>
              <w:right w:val="nil"/>
            </w:tcBorders>
            <w:shd w:val="clear" w:color="auto" w:fill="auto"/>
            <w:noWrap/>
            <w:vAlign w:val="bottom"/>
            <w:hideMark/>
          </w:tcPr>
          <w:p w14:paraId="726B2B59"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4.21</w:t>
            </w:r>
          </w:p>
        </w:tc>
        <w:tc>
          <w:tcPr>
            <w:tcW w:w="1232" w:type="dxa"/>
            <w:gridSpan w:val="2"/>
            <w:tcBorders>
              <w:top w:val="single" w:sz="4" w:space="0" w:color="auto"/>
              <w:left w:val="nil"/>
              <w:bottom w:val="single" w:sz="4" w:space="0" w:color="auto"/>
              <w:right w:val="nil"/>
            </w:tcBorders>
            <w:shd w:val="clear" w:color="auto" w:fill="auto"/>
            <w:noWrap/>
            <w:vAlign w:val="bottom"/>
            <w:hideMark/>
          </w:tcPr>
          <w:p w14:paraId="146ADF22"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955,676 </w:t>
            </w:r>
          </w:p>
        </w:tc>
        <w:tc>
          <w:tcPr>
            <w:tcW w:w="643" w:type="dxa"/>
            <w:gridSpan w:val="3"/>
            <w:tcBorders>
              <w:top w:val="single" w:sz="4" w:space="0" w:color="auto"/>
              <w:left w:val="nil"/>
              <w:bottom w:val="single" w:sz="4" w:space="0" w:color="auto"/>
              <w:right w:val="nil"/>
            </w:tcBorders>
            <w:shd w:val="clear" w:color="auto" w:fill="auto"/>
            <w:noWrap/>
            <w:vAlign w:val="bottom"/>
            <w:hideMark/>
          </w:tcPr>
          <w:p w14:paraId="62FEE11C"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single" w:sz="4" w:space="0" w:color="auto"/>
              <w:right w:val="nil"/>
            </w:tcBorders>
            <w:shd w:val="clear" w:color="auto" w:fill="auto"/>
            <w:noWrap/>
            <w:vAlign w:val="bottom"/>
            <w:hideMark/>
          </w:tcPr>
          <w:p w14:paraId="670ECD21"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single" w:sz="4" w:space="0" w:color="auto"/>
              <w:right w:val="nil"/>
            </w:tcBorders>
            <w:shd w:val="clear" w:color="auto" w:fill="auto"/>
            <w:noWrap/>
            <w:vAlign w:val="bottom"/>
            <w:hideMark/>
          </w:tcPr>
          <w:p w14:paraId="3DE062A6"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1008" w:type="dxa"/>
            <w:gridSpan w:val="5"/>
            <w:tcBorders>
              <w:top w:val="single" w:sz="4" w:space="0" w:color="auto"/>
              <w:left w:val="nil"/>
              <w:bottom w:val="single" w:sz="4" w:space="0" w:color="auto"/>
              <w:right w:val="nil"/>
            </w:tcBorders>
            <w:shd w:val="clear" w:color="auto" w:fill="auto"/>
            <w:noWrap/>
            <w:vAlign w:val="bottom"/>
            <w:hideMark/>
          </w:tcPr>
          <w:p w14:paraId="64355737"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0 </w:t>
            </w:r>
          </w:p>
        </w:tc>
        <w:tc>
          <w:tcPr>
            <w:tcW w:w="665" w:type="dxa"/>
            <w:gridSpan w:val="3"/>
            <w:tcBorders>
              <w:top w:val="single" w:sz="4" w:space="0" w:color="auto"/>
              <w:left w:val="nil"/>
              <w:bottom w:val="single" w:sz="4" w:space="0" w:color="auto"/>
              <w:right w:val="nil"/>
            </w:tcBorders>
            <w:shd w:val="clear" w:color="auto" w:fill="auto"/>
            <w:noWrap/>
            <w:vAlign w:val="bottom"/>
            <w:hideMark/>
          </w:tcPr>
          <w:p w14:paraId="6D5FBBCF"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4.21</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B4E472"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955,676 </w:t>
            </w:r>
          </w:p>
        </w:tc>
      </w:tr>
      <w:tr w:rsidR="00971A7A" w:rsidRPr="00971A7A" w14:paraId="782A24D1"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03A121C7"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3100-General Science Support &amp; TAC</w:t>
            </w:r>
          </w:p>
        </w:tc>
        <w:tc>
          <w:tcPr>
            <w:tcW w:w="1016" w:type="dxa"/>
            <w:gridSpan w:val="2"/>
            <w:tcBorders>
              <w:top w:val="single" w:sz="4" w:space="0" w:color="auto"/>
              <w:left w:val="nil"/>
              <w:bottom w:val="nil"/>
              <w:right w:val="nil"/>
            </w:tcBorders>
            <w:shd w:val="clear" w:color="auto" w:fill="auto"/>
            <w:noWrap/>
            <w:vAlign w:val="bottom"/>
            <w:hideMark/>
          </w:tcPr>
          <w:p w14:paraId="57999234"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0.47</w:t>
            </w:r>
          </w:p>
        </w:tc>
        <w:tc>
          <w:tcPr>
            <w:tcW w:w="1232" w:type="dxa"/>
            <w:gridSpan w:val="2"/>
            <w:tcBorders>
              <w:top w:val="single" w:sz="4" w:space="0" w:color="auto"/>
              <w:left w:val="nil"/>
              <w:bottom w:val="nil"/>
              <w:right w:val="nil"/>
            </w:tcBorders>
            <w:shd w:val="clear" w:color="auto" w:fill="auto"/>
            <w:noWrap/>
            <w:vAlign w:val="bottom"/>
            <w:hideMark/>
          </w:tcPr>
          <w:p w14:paraId="398AB699"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74,996 </w:t>
            </w:r>
          </w:p>
        </w:tc>
        <w:tc>
          <w:tcPr>
            <w:tcW w:w="643" w:type="dxa"/>
            <w:gridSpan w:val="3"/>
            <w:tcBorders>
              <w:top w:val="single" w:sz="4" w:space="0" w:color="auto"/>
              <w:left w:val="nil"/>
              <w:bottom w:val="nil"/>
              <w:right w:val="nil"/>
            </w:tcBorders>
            <w:shd w:val="clear" w:color="auto" w:fill="auto"/>
            <w:noWrap/>
            <w:vAlign w:val="bottom"/>
            <w:hideMark/>
          </w:tcPr>
          <w:p w14:paraId="198BE007"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261E3B38"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70D2A28A"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single" w:sz="4" w:space="0" w:color="auto"/>
              <w:left w:val="nil"/>
              <w:bottom w:val="nil"/>
              <w:right w:val="nil"/>
            </w:tcBorders>
            <w:shd w:val="clear" w:color="auto" w:fill="auto"/>
            <w:noWrap/>
            <w:vAlign w:val="bottom"/>
            <w:hideMark/>
          </w:tcPr>
          <w:p w14:paraId="5BB2881C"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nil"/>
              <w:right w:val="nil"/>
            </w:tcBorders>
            <w:shd w:val="clear" w:color="auto" w:fill="auto"/>
            <w:noWrap/>
            <w:vAlign w:val="bottom"/>
            <w:hideMark/>
          </w:tcPr>
          <w:p w14:paraId="6B1C7D4D"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0.47</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3EFFD8BA"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74,996 </w:t>
            </w:r>
          </w:p>
        </w:tc>
      </w:tr>
      <w:tr w:rsidR="00971A7A" w:rsidRPr="00971A7A" w14:paraId="0F379C78"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03D3708C" w14:textId="654A1E0B"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3130-Proposal Review &amp; Time Allocat</w:t>
            </w:r>
            <w:r w:rsidR="009924E1">
              <w:rPr>
                <w:rFonts w:ascii="Calibri" w:eastAsia="Times New Roman" w:hAnsi="Calibri" w:cs="Calibri"/>
                <w:color w:val="000000"/>
                <w:sz w:val="16"/>
                <w:szCs w:val="16"/>
              </w:rPr>
              <w:t>ion</w:t>
            </w:r>
          </w:p>
        </w:tc>
        <w:tc>
          <w:tcPr>
            <w:tcW w:w="1016" w:type="dxa"/>
            <w:gridSpan w:val="2"/>
            <w:tcBorders>
              <w:top w:val="nil"/>
              <w:left w:val="nil"/>
              <w:bottom w:val="single" w:sz="4" w:space="0" w:color="auto"/>
              <w:right w:val="nil"/>
            </w:tcBorders>
            <w:shd w:val="clear" w:color="auto" w:fill="auto"/>
            <w:noWrap/>
            <w:vAlign w:val="bottom"/>
            <w:hideMark/>
          </w:tcPr>
          <w:p w14:paraId="61915FD5"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0.47</w:t>
            </w:r>
          </w:p>
        </w:tc>
        <w:tc>
          <w:tcPr>
            <w:tcW w:w="1232" w:type="dxa"/>
            <w:gridSpan w:val="2"/>
            <w:tcBorders>
              <w:top w:val="nil"/>
              <w:left w:val="nil"/>
              <w:bottom w:val="single" w:sz="4" w:space="0" w:color="auto"/>
              <w:right w:val="nil"/>
            </w:tcBorders>
            <w:shd w:val="clear" w:color="auto" w:fill="auto"/>
            <w:noWrap/>
            <w:vAlign w:val="bottom"/>
            <w:hideMark/>
          </w:tcPr>
          <w:p w14:paraId="21165854"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74,996 </w:t>
            </w:r>
          </w:p>
        </w:tc>
        <w:tc>
          <w:tcPr>
            <w:tcW w:w="643" w:type="dxa"/>
            <w:gridSpan w:val="3"/>
            <w:tcBorders>
              <w:top w:val="nil"/>
              <w:left w:val="nil"/>
              <w:bottom w:val="single" w:sz="4" w:space="0" w:color="auto"/>
              <w:right w:val="nil"/>
            </w:tcBorders>
            <w:shd w:val="clear" w:color="auto" w:fill="auto"/>
            <w:noWrap/>
            <w:vAlign w:val="bottom"/>
            <w:hideMark/>
          </w:tcPr>
          <w:p w14:paraId="71476235"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5A8F875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4F47C04A"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single" w:sz="4" w:space="0" w:color="auto"/>
              <w:right w:val="nil"/>
            </w:tcBorders>
            <w:shd w:val="clear" w:color="auto" w:fill="auto"/>
            <w:noWrap/>
            <w:vAlign w:val="bottom"/>
            <w:hideMark/>
          </w:tcPr>
          <w:p w14:paraId="0EA8ACC1"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single" w:sz="4" w:space="0" w:color="auto"/>
              <w:right w:val="nil"/>
            </w:tcBorders>
            <w:shd w:val="clear" w:color="auto" w:fill="auto"/>
            <w:noWrap/>
            <w:vAlign w:val="bottom"/>
            <w:hideMark/>
          </w:tcPr>
          <w:p w14:paraId="77F821BB"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0.47</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0532F6ED"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74,996 </w:t>
            </w:r>
          </w:p>
        </w:tc>
      </w:tr>
      <w:tr w:rsidR="00971A7A" w:rsidRPr="00971A7A" w14:paraId="582629D8"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637A6E2D"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3200-Reference</w:t>
            </w:r>
          </w:p>
        </w:tc>
        <w:tc>
          <w:tcPr>
            <w:tcW w:w="1016" w:type="dxa"/>
            <w:gridSpan w:val="2"/>
            <w:tcBorders>
              <w:top w:val="single" w:sz="4" w:space="0" w:color="auto"/>
              <w:left w:val="nil"/>
              <w:bottom w:val="nil"/>
              <w:right w:val="nil"/>
            </w:tcBorders>
            <w:shd w:val="clear" w:color="auto" w:fill="auto"/>
            <w:noWrap/>
            <w:vAlign w:val="bottom"/>
            <w:hideMark/>
          </w:tcPr>
          <w:p w14:paraId="6AE1923B"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1232" w:type="dxa"/>
            <w:gridSpan w:val="2"/>
            <w:tcBorders>
              <w:top w:val="single" w:sz="4" w:space="0" w:color="auto"/>
              <w:left w:val="nil"/>
              <w:bottom w:val="nil"/>
              <w:right w:val="nil"/>
            </w:tcBorders>
            <w:shd w:val="clear" w:color="auto" w:fill="auto"/>
            <w:noWrap/>
            <w:vAlign w:val="bottom"/>
            <w:hideMark/>
          </w:tcPr>
          <w:p w14:paraId="6AB3D220"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10,000 </w:t>
            </w:r>
          </w:p>
        </w:tc>
        <w:tc>
          <w:tcPr>
            <w:tcW w:w="643" w:type="dxa"/>
            <w:gridSpan w:val="3"/>
            <w:tcBorders>
              <w:top w:val="single" w:sz="4" w:space="0" w:color="auto"/>
              <w:left w:val="nil"/>
              <w:bottom w:val="nil"/>
              <w:right w:val="nil"/>
            </w:tcBorders>
            <w:shd w:val="clear" w:color="auto" w:fill="auto"/>
            <w:noWrap/>
            <w:vAlign w:val="bottom"/>
            <w:hideMark/>
          </w:tcPr>
          <w:p w14:paraId="0F90F6A9"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47536D7D"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669C21CF"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single" w:sz="4" w:space="0" w:color="auto"/>
              <w:left w:val="nil"/>
              <w:bottom w:val="nil"/>
              <w:right w:val="nil"/>
            </w:tcBorders>
            <w:shd w:val="clear" w:color="auto" w:fill="auto"/>
            <w:noWrap/>
            <w:vAlign w:val="bottom"/>
            <w:hideMark/>
          </w:tcPr>
          <w:p w14:paraId="0EC9F46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nil"/>
              <w:right w:val="nil"/>
            </w:tcBorders>
            <w:shd w:val="clear" w:color="auto" w:fill="auto"/>
            <w:noWrap/>
            <w:vAlign w:val="bottom"/>
            <w:hideMark/>
          </w:tcPr>
          <w:p w14:paraId="74B17345"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56A02131"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10,000 </w:t>
            </w:r>
          </w:p>
        </w:tc>
      </w:tr>
      <w:tr w:rsidR="00971A7A" w:rsidRPr="00971A7A" w14:paraId="631BD7B5"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4B202387"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3210-Library</w:t>
            </w:r>
          </w:p>
        </w:tc>
        <w:tc>
          <w:tcPr>
            <w:tcW w:w="1016" w:type="dxa"/>
            <w:gridSpan w:val="2"/>
            <w:tcBorders>
              <w:top w:val="nil"/>
              <w:left w:val="nil"/>
              <w:bottom w:val="single" w:sz="4" w:space="0" w:color="auto"/>
              <w:right w:val="nil"/>
            </w:tcBorders>
            <w:shd w:val="clear" w:color="auto" w:fill="auto"/>
            <w:noWrap/>
            <w:vAlign w:val="bottom"/>
            <w:hideMark/>
          </w:tcPr>
          <w:p w14:paraId="2AFFC6A3"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1232" w:type="dxa"/>
            <w:gridSpan w:val="2"/>
            <w:tcBorders>
              <w:top w:val="nil"/>
              <w:left w:val="nil"/>
              <w:bottom w:val="single" w:sz="4" w:space="0" w:color="auto"/>
              <w:right w:val="nil"/>
            </w:tcBorders>
            <w:shd w:val="clear" w:color="auto" w:fill="auto"/>
            <w:noWrap/>
            <w:vAlign w:val="bottom"/>
            <w:hideMark/>
          </w:tcPr>
          <w:p w14:paraId="317437D4"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10,000 </w:t>
            </w:r>
          </w:p>
        </w:tc>
        <w:tc>
          <w:tcPr>
            <w:tcW w:w="643" w:type="dxa"/>
            <w:gridSpan w:val="3"/>
            <w:tcBorders>
              <w:top w:val="nil"/>
              <w:left w:val="nil"/>
              <w:bottom w:val="single" w:sz="4" w:space="0" w:color="auto"/>
              <w:right w:val="nil"/>
            </w:tcBorders>
            <w:shd w:val="clear" w:color="auto" w:fill="auto"/>
            <w:noWrap/>
            <w:vAlign w:val="bottom"/>
            <w:hideMark/>
          </w:tcPr>
          <w:p w14:paraId="528E86F9"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40DCD8D2"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7376CC60"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single" w:sz="4" w:space="0" w:color="auto"/>
              <w:right w:val="nil"/>
            </w:tcBorders>
            <w:shd w:val="clear" w:color="auto" w:fill="auto"/>
            <w:noWrap/>
            <w:vAlign w:val="bottom"/>
            <w:hideMark/>
          </w:tcPr>
          <w:p w14:paraId="2F8B61C8"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single" w:sz="4" w:space="0" w:color="auto"/>
              <w:right w:val="nil"/>
            </w:tcBorders>
            <w:shd w:val="clear" w:color="auto" w:fill="auto"/>
            <w:noWrap/>
            <w:vAlign w:val="bottom"/>
            <w:hideMark/>
          </w:tcPr>
          <w:p w14:paraId="11330682"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6D8D5C53"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10,000 </w:t>
            </w:r>
          </w:p>
        </w:tc>
      </w:tr>
      <w:tr w:rsidR="00971A7A" w:rsidRPr="00971A7A" w14:paraId="6BF5B525"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3E2F28D3"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3300-Broader Impacts</w:t>
            </w:r>
          </w:p>
        </w:tc>
        <w:tc>
          <w:tcPr>
            <w:tcW w:w="1016" w:type="dxa"/>
            <w:gridSpan w:val="2"/>
            <w:tcBorders>
              <w:top w:val="single" w:sz="4" w:space="0" w:color="auto"/>
              <w:left w:val="nil"/>
              <w:bottom w:val="nil"/>
              <w:right w:val="nil"/>
            </w:tcBorders>
            <w:shd w:val="clear" w:color="auto" w:fill="auto"/>
            <w:noWrap/>
            <w:vAlign w:val="bottom"/>
            <w:hideMark/>
          </w:tcPr>
          <w:p w14:paraId="323DF9F9"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0.07</w:t>
            </w:r>
          </w:p>
        </w:tc>
        <w:tc>
          <w:tcPr>
            <w:tcW w:w="1232" w:type="dxa"/>
            <w:gridSpan w:val="2"/>
            <w:tcBorders>
              <w:top w:val="single" w:sz="4" w:space="0" w:color="auto"/>
              <w:left w:val="nil"/>
              <w:bottom w:val="nil"/>
              <w:right w:val="nil"/>
            </w:tcBorders>
            <w:shd w:val="clear" w:color="auto" w:fill="auto"/>
            <w:noWrap/>
            <w:vAlign w:val="bottom"/>
            <w:hideMark/>
          </w:tcPr>
          <w:p w14:paraId="0EAB9EB3"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97,839 </w:t>
            </w:r>
          </w:p>
        </w:tc>
        <w:tc>
          <w:tcPr>
            <w:tcW w:w="643" w:type="dxa"/>
            <w:gridSpan w:val="3"/>
            <w:tcBorders>
              <w:top w:val="single" w:sz="4" w:space="0" w:color="auto"/>
              <w:left w:val="nil"/>
              <w:bottom w:val="nil"/>
              <w:right w:val="nil"/>
            </w:tcBorders>
            <w:shd w:val="clear" w:color="auto" w:fill="auto"/>
            <w:noWrap/>
            <w:vAlign w:val="bottom"/>
            <w:hideMark/>
          </w:tcPr>
          <w:p w14:paraId="68F3F950"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72B06C6B"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753C3676"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single" w:sz="4" w:space="0" w:color="auto"/>
              <w:left w:val="nil"/>
              <w:bottom w:val="nil"/>
              <w:right w:val="nil"/>
            </w:tcBorders>
            <w:shd w:val="clear" w:color="auto" w:fill="auto"/>
            <w:noWrap/>
            <w:vAlign w:val="bottom"/>
            <w:hideMark/>
          </w:tcPr>
          <w:p w14:paraId="220234CB"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nil"/>
              <w:right w:val="nil"/>
            </w:tcBorders>
            <w:shd w:val="clear" w:color="auto" w:fill="auto"/>
            <w:noWrap/>
            <w:vAlign w:val="bottom"/>
            <w:hideMark/>
          </w:tcPr>
          <w:p w14:paraId="49B02730"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0.07</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05DC354E"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97,839 </w:t>
            </w:r>
          </w:p>
        </w:tc>
      </w:tr>
      <w:tr w:rsidR="00971A7A" w:rsidRPr="00971A7A" w14:paraId="199BF346"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4C33350A"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3310-Student Programs</w:t>
            </w:r>
          </w:p>
        </w:tc>
        <w:tc>
          <w:tcPr>
            <w:tcW w:w="1016" w:type="dxa"/>
            <w:gridSpan w:val="2"/>
            <w:tcBorders>
              <w:top w:val="nil"/>
              <w:left w:val="nil"/>
              <w:bottom w:val="nil"/>
              <w:right w:val="nil"/>
            </w:tcBorders>
            <w:shd w:val="clear" w:color="auto" w:fill="auto"/>
            <w:noWrap/>
            <w:vAlign w:val="bottom"/>
            <w:hideMark/>
          </w:tcPr>
          <w:p w14:paraId="6386B059"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0.07</w:t>
            </w:r>
          </w:p>
        </w:tc>
        <w:tc>
          <w:tcPr>
            <w:tcW w:w="1232" w:type="dxa"/>
            <w:gridSpan w:val="2"/>
            <w:tcBorders>
              <w:top w:val="nil"/>
              <w:left w:val="nil"/>
              <w:bottom w:val="nil"/>
              <w:right w:val="nil"/>
            </w:tcBorders>
            <w:shd w:val="clear" w:color="auto" w:fill="auto"/>
            <w:noWrap/>
            <w:vAlign w:val="bottom"/>
            <w:hideMark/>
          </w:tcPr>
          <w:p w14:paraId="41283FDE"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80,943 </w:t>
            </w:r>
          </w:p>
        </w:tc>
        <w:tc>
          <w:tcPr>
            <w:tcW w:w="643" w:type="dxa"/>
            <w:gridSpan w:val="3"/>
            <w:tcBorders>
              <w:top w:val="nil"/>
              <w:left w:val="nil"/>
              <w:bottom w:val="nil"/>
              <w:right w:val="nil"/>
            </w:tcBorders>
            <w:shd w:val="clear" w:color="auto" w:fill="auto"/>
            <w:noWrap/>
            <w:vAlign w:val="bottom"/>
            <w:hideMark/>
          </w:tcPr>
          <w:p w14:paraId="4026F2F4"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3143432C"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7C74C23A"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nil"/>
              <w:right w:val="nil"/>
            </w:tcBorders>
            <w:shd w:val="clear" w:color="auto" w:fill="auto"/>
            <w:noWrap/>
            <w:vAlign w:val="bottom"/>
            <w:hideMark/>
          </w:tcPr>
          <w:p w14:paraId="264C23B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nil"/>
              <w:right w:val="nil"/>
            </w:tcBorders>
            <w:shd w:val="clear" w:color="auto" w:fill="auto"/>
            <w:noWrap/>
            <w:vAlign w:val="bottom"/>
            <w:hideMark/>
          </w:tcPr>
          <w:p w14:paraId="52029B50"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0.07</w:t>
            </w:r>
          </w:p>
        </w:tc>
        <w:tc>
          <w:tcPr>
            <w:tcW w:w="975" w:type="dxa"/>
            <w:gridSpan w:val="2"/>
            <w:tcBorders>
              <w:top w:val="nil"/>
              <w:left w:val="nil"/>
              <w:bottom w:val="nil"/>
              <w:right w:val="single" w:sz="4" w:space="0" w:color="auto"/>
            </w:tcBorders>
            <w:shd w:val="clear" w:color="auto" w:fill="auto"/>
            <w:noWrap/>
            <w:vAlign w:val="bottom"/>
            <w:hideMark/>
          </w:tcPr>
          <w:p w14:paraId="490D2D9E"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80,943 </w:t>
            </w:r>
          </w:p>
        </w:tc>
      </w:tr>
      <w:tr w:rsidR="00971A7A" w:rsidRPr="00971A7A" w14:paraId="6DC2DA98"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0ED074FD"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3340-Diversity &amp; Inclusion</w:t>
            </w:r>
          </w:p>
        </w:tc>
        <w:tc>
          <w:tcPr>
            <w:tcW w:w="1016" w:type="dxa"/>
            <w:gridSpan w:val="2"/>
            <w:tcBorders>
              <w:top w:val="nil"/>
              <w:left w:val="nil"/>
              <w:bottom w:val="single" w:sz="4" w:space="0" w:color="auto"/>
              <w:right w:val="nil"/>
            </w:tcBorders>
            <w:shd w:val="clear" w:color="auto" w:fill="auto"/>
            <w:noWrap/>
            <w:vAlign w:val="bottom"/>
            <w:hideMark/>
          </w:tcPr>
          <w:p w14:paraId="6E24B5FF"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1232" w:type="dxa"/>
            <w:gridSpan w:val="2"/>
            <w:tcBorders>
              <w:top w:val="nil"/>
              <w:left w:val="nil"/>
              <w:bottom w:val="single" w:sz="4" w:space="0" w:color="auto"/>
              <w:right w:val="nil"/>
            </w:tcBorders>
            <w:shd w:val="clear" w:color="auto" w:fill="auto"/>
            <w:noWrap/>
            <w:vAlign w:val="bottom"/>
            <w:hideMark/>
          </w:tcPr>
          <w:p w14:paraId="1166D84C"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16,896 </w:t>
            </w:r>
          </w:p>
        </w:tc>
        <w:tc>
          <w:tcPr>
            <w:tcW w:w="643" w:type="dxa"/>
            <w:gridSpan w:val="3"/>
            <w:tcBorders>
              <w:top w:val="nil"/>
              <w:left w:val="nil"/>
              <w:bottom w:val="single" w:sz="4" w:space="0" w:color="auto"/>
              <w:right w:val="nil"/>
            </w:tcBorders>
            <w:shd w:val="clear" w:color="auto" w:fill="auto"/>
            <w:noWrap/>
            <w:vAlign w:val="bottom"/>
            <w:hideMark/>
          </w:tcPr>
          <w:p w14:paraId="31849B60"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47497B74"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6911F937"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single" w:sz="4" w:space="0" w:color="auto"/>
              <w:right w:val="nil"/>
            </w:tcBorders>
            <w:shd w:val="clear" w:color="auto" w:fill="auto"/>
            <w:noWrap/>
            <w:vAlign w:val="bottom"/>
            <w:hideMark/>
          </w:tcPr>
          <w:p w14:paraId="71929848"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single" w:sz="4" w:space="0" w:color="auto"/>
              <w:right w:val="nil"/>
            </w:tcBorders>
            <w:shd w:val="clear" w:color="auto" w:fill="auto"/>
            <w:noWrap/>
            <w:vAlign w:val="bottom"/>
            <w:hideMark/>
          </w:tcPr>
          <w:p w14:paraId="1FE8F22D"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469F711A"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16,896 </w:t>
            </w:r>
          </w:p>
        </w:tc>
      </w:tr>
      <w:tr w:rsidR="00971A7A" w:rsidRPr="00971A7A" w14:paraId="5BAD6F1B"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6748E57D"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3400-Scientific Staff</w:t>
            </w:r>
          </w:p>
        </w:tc>
        <w:tc>
          <w:tcPr>
            <w:tcW w:w="1016" w:type="dxa"/>
            <w:gridSpan w:val="2"/>
            <w:tcBorders>
              <w:top w:val="single" w:sz="4" w:space="0" w:color="auto"/>
              <w:left w:val="nil"/>
              <w:bottom w:val="nil"/>
              <w:right w:val="nil"/>
            </w:tcBorders>
            <w:shd w:val="clear" w:color="auto" w:fill="auto"/>
            <w:noWrap/>
            <w:vAlign w:val="bottom"/>
            <w:hideMark/>
          </w:tcPr>
          <w:p w14:paraId="7298D861"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1232" w:type="dxa"/>
            <w:gridSpan w:val="2"/>
            <w:tcBorders>
              <w:top w:val="single" w:sz="4" w:space="0" w:color="auto"/>
              <w:left w:val="nil"/>
              <w:bottom w:val="nil"/>
              <w:right w:val="nil"/>
            </w:tcBorders>
            <w:shd w:val="clear" w:color="auto" w:fill="auto"/>
            <w:noWrap/>
            <w:vAlign w:val="bottom"/>
            <w:hideMark/>
          </w:tcPr>
          <w:p w14:paraId="6CB1F79F"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84,500 </w:t>
            </w:r>
          </w:p>
        </w:tc>
        <w:tc>
          <w:tcPr>
            <w:tcW w:w="643" w:type="dxa"/>
            <w:gridSpan w:val="3"/>
            <w:tcBorders>
              <w:top w:val="single" w:sz="4" w:space="0" w:color="auto"/>
              <w:left w:val="nil"/>
              <w:bottom w:val="nil"/>
              <w:right w:val="nil"/>
            </w:tcBorders>
            <w:shd w:val="clear" w:color="auto" w:fill="auto"/>
            <w:noWrap/>
            <w:vAlign w:val="bottom"/>
            <w:hideMark/>
          </w:tcPr>
          <w:p w14:paraId="02758EAB"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72EEEBFE"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52E0601E"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single" w:sz="4" w:space="0" w:color="auto"/>
              <w:left w:val="nil"/>
              <w:bottom w:val="nil"/>
              <w:right w:val="nil"/>
            </w:tcBorders>
            <w:shd w:val="clear" w:color="auto" w:fill="auto"/>
            <w:noWrap/>
            <w:vAlign w:val="bottom"/>
            <w:hideMark/>
          </w:tcPr>
          <w:p w14:paraId="04D43E96"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nil"/>
              <w:right w:val="nil"/>
            </w:tcBorders>
            <w:shd w:val="clear" w:color="auto" w:fill="auto"/>
            <w:noWrap/>
            <w:vAlign w:val="bottom"/>
            <w:hideMark/>
          </w:tcPr>
          <w:p w14:paraId="5D71B23E"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6DCFE5BD"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84,500 </w:t>
            </w:r>
          </w:p>
        </w:tc>
      </w:tr>
      <w:tr w:rsidR="00971A7A" w:rsidRPr="00971A7A" w14:paraId="4E5971BB"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278C4AEF"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3410-Staff Research</w:t>
            </w:r>
          </w:p>
        </w:tc>
        <w:tc>
          <w:tcPr>
            <w:tcW w:w="1016" w:type="dxa"/>
            <w:gridSpan w:val="2"/>
            <w:tcBorders>
              <w:top w:val="nil"/>
              <w:left w:val="nil"/>
              <w:bottom w:val="single" w:sz="4" w:space="0" w:color="auto"/>
              <w:right w:val="nil"/>
            </w:tcBorders>
            <w:shd w:val="clear" w:color="auto" w:fill="auto"/>
            <w:noWrap/>
            <w:vAlign w:val="bottom"/>
            <w:hideMark/>
          </w:tcPr>
          <w:p w14:paraId="4C236A6C"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1232" w:type="dxa"/>
            <w:gridSpan w:val="2"/>
            <w:tcBorders>
              <w:top w:val="nil"/>
              <w:left w:val="nil"/>
              <w:bottom w:val="single" w:sz="4" w:space="0" w:color="auto"/>
              <w:right w:val="nil"/>
            </w:tcBorders>
            <w:shd w:val="clear" w:color="auto" w:fill="auto"/>
            <w:noWrap/>
            <w:vAlign w:val="bottom"/>
            <w:hideMark/>
          </w:tcPr>
          <w:p w14:paraId="05B68289"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84,500 </w:t>
            </w:r>
          </w:p>
        </w:tc>
        <w:tc>
          <w:tcPr>
            <w:tcW w:w="643" w:type="dxa"/>
            <w:gridSpan w:val="3"/>
            <w:tcBorders>
              <w:top w:val="nil"/>
              <w:left w:val="nil"/>
              <w:bottom w:val="single" w:sz="4" w:space="0" w:color="auto"/>
              <w:right w:val="nil"/>
            </w:tcBorders>
            <w:shd w:val="clear" w:color="auto" w:fill="auto"/>
            <w:noWrap/>
            <w:vAlign w:val="bottom"/>
            <w:hideMark/>
          </w:tcPr>
          <w:p w14:paraId="45BA7851"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1DA69E42"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1C1213DC"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single" w:sz="4" w:space="0" w:color="auto"/>
              <w:right w:val="nil"/>
            </w:tcBorders>
            <w:shd w:val="clear" w:color="auto" w:fill="auto"/>
            <w:noWrap/>
            <w:vAlign w:val="bottom"/>
            <w:hideMark/>
          </w:tcPr>
          <w:p w14:paraId="7C909624"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single" w:sz="4" w:space="0" w:color="auto"/>
              <w:right w:val="nil"/>
            </w:tcBorders>
            <w:shd w:val="clear" w:color="auto" w:fill="auto"/>
            <w:noWrap/>
            <w:vAlign w:val="bottom"/>
            <w:hideMark/>
          </w:tcPr>
          <w:p w14:paraId="51DCDE42"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21477B7F"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84,500 </w:t>
            </w:r>
          </w:p>
        </w:tc>
      </w:tr>
      <w:tr w:rsidR="00971A7A" w:rsidRPr="00971A7A" w14:paraId="73C913D0"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586CEE6B"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3600-Scientific User Services</w:t>
            </w:r>
          </w:p>
        </w:tc>
        <w:tc>
          <w:tcPr>
            <w:tcW w:w="1016" w:type="dxa"/>
            <w:gridSpan w:val="2"/>
            <w:tcBorders>
              <w:top w:val="single" w:sz="4" w:space="0" w:color="auto"/>
              <w:left w:val="nil"/>
              <w:bottom w:val="nil"/>
              <w:right w:val="nil"/>
            </w:tcBorders>
            <w:shd w:val="clear" w:color="auto" w:fill="auto"/>
            <w:noWrap/>
            <w:vAlign w:val="bottom"/>
            <w:hideMark/>
          </w:tcPr>
          <w:p w14:paraId="660376C1"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3.02</w:t>
            </w:r>
          </w:p>
        </w:tc>
        <w:tc>
          <w:tcPr>
            <w:tcW w:w="1232" w:type="dxa"/>
            <w:gridSpan w:val="2"/>
            <w:tcBorders>
              <w:top w:val="single" w:sz="4" w:space="0" w:color="auto"/>
              <w:left w:val="nil"/>
              <w:bottom w:val="nil"/>
              <w:right w:val="nil"/>
            </w:tcBorders>
            <w:shd w:val="clear" w:color="auto" w:fill="auto"/>
            <w:noWrap/>
            <w:vAlign w:val="bottom"/>
            <w:hideMark/>
          </w:tcPr>
          <w:p w14:paraId="2DEFBBEE"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623,004 </w:t>
            </w:r>
          </w:p>
        </w:tc>
        <w:tc>
          <w:tcPr>
            <w:tcW w:w="643" w:type="dxa"/>
            <w:gridSpan w:val="3"/>
            <w:tcBorders>
              <w:top w:val="single" w:sz="4" w:space="0" w:color="auto"/>
              <w:left w:val="nil"/>
              <w:bottom w:val="nil"/>
              <w:right w:val="nil"/>
            </w:tcBorders>
            <w:shd w:val="clear" w:color="auto" w:fill="auto"/>
            <w:noWrap/>
            <w:vAlign w:val="bottom"/>
            <w:hideMark/>
          </w:tcPr>
          <w:p w14:paraId="61096FED"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4217C877"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25725041"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single" w:sz="4" w:space="0" w:color="auto"/>
              <w:left w:val="nil"/>
              <w:bottom w:val="nil"/>
              <w:right w:val="nil"/>
            </w:tcBorders>
            <w:shd w:val="clear" w:color="auto" w:fill="auto"/>
            <w:noWrap/>
            <w:vAlign w:val="bottom"/>
            <w:hideMark/>
          </w:tcPr>
          <w:p w14:paraId="2D7D8AFB"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nil"/>
              <w:right w:val="nil"/>
            </w:tcBorders>
            <w:shd w:val="clear" w:color="auto" w:fill="auto"/>
            <w:noWrap/>
            <w:vAlign w:val="bottom"/>
            <w:hideMark/>
          </w:tcPr>
          <w:p w14:paraId="44498FF5"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3.02</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55247C80"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623,004 </w:t>
            </w:r>
          </w:p>
        </w:tc>
      </w:tr>
      <w:tr w:rsidR="00971A7A" w:rsidRPr="00971A7A" w14:paraId="4B6EF12E"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040A0030"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3610-Community Support</w:t>
            </w:r>
          </w:p>
        </w:tc>
        <w:tc>
          <w:tcPr>
            <w:tcW w:w="1016" w:type="dxa"/>
            <w:gridSpan w:val="2"/>
            <w:tcBorders>
              <w:top w:val="nil"/>
              <w:left w:val="nil"/>
              <w:bottom w:val="nil"/>
              <w:right w:val="nil"/>
            </w:tcBorders>
            <w:shd w:val="clear" w:color="auto" w:fill="auto"/>
            <w:noWrap/>
            <w:vAlign w:val="bottom"/>
            <w:hideMark/>
          </w:tcPr>
          <w:p w14:paraId="0EB5DB07"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0.32</w:t>
            </w:r>
          </w:p>
        </w:tc>
        <w:tc>
          <w:tcPr>
            <w:tcW w:w="1232" w:type="dxa"/>
            <w:gridSpan w:val="2"/>
            <w:tcBorders>
              <w:top w:val="nil"/>
              <w:left w:val="nil"/>
              <w:bottom w:val="nil"/>
              <w:right w:val="nil"/>
            </w:tcBorders>
            <w:shd w:val="clear" w:color="auto" w:fill="auto"/>
            <w:noWrap/>
            <w:vAlign w:val="bottom"/>
            <w:hideMark/>
          </w:tcPr>
          <w:p w14:paraId="71A047BF"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106,511 </w:t>
            </w:r>
          </w:p>
        </w:tc>
        <w:tc>
          <w:tcPr>
            <w:tcW w:w="643" w:type="dxa"/>
            <w:gridSpan w:val="3"/>
            <w:tcBorders>
              <w:top w:val="nil"/>
              <w:left w:val="nil"/>
              <w:bottom w:val="nil"/>
              <w:right w:val="nil"/>
            </w:tcBorders>
            <w:shd w:val="clear" w:color="auto" w:fill="auto"/>
            <w:noWrap/>
            <w:vAlign w:val="bottom"/>
            <w:hideMark/>
          </w:tcPr>
          <w:p w14:paraId="2CED7109"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2C16297B"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69422AE6"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nil"/>
              <w:right w:val="nil"/>
            </w:tcBorders>
            <w:shd w:val="clear" w:color="auto" w:fill="auto"/>
            <w:noWrap/>
            <w:vAlign w:val="bottom"/>
            <w:hideMark/>
          </w:tcPr>
          <w:p w14:paraId="2A74A3E1"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nil"/>
              <w:right w:val="nil"/>
            </w:tcBorders>
            <w:shd w:val="clear" w:color="auto" w:fill="auto"/>
            <w:noWrap/>
            <w:vAlign w:val="bottom"/>
            <w:hideMark/>
          </w:tcPr>
          <w:p w14:paraId="57BFBEE9"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0.32</w:t>
            </w:r>
          </w:p>
        </w:tc>
        <w:tc>
          <w:tcPr>
            <w:tcW w:w="975" w:type="dxa"/>
            <w:gridSpan w:val="2"/>
            <w:tcBorders>
              <w:top w:val="nil"/>
              <w:left w:val="nil"/>
              <w:bottom w:val="nil"/>
              <w:right w:val="single" w:sz="4" w:space="0" w:color="auto"/>
            </w:tcBorders>
            <w:shd w:val="clear" w:color="auto" w:fill="auto"/>
            <w:noWrap/>
            <w:vAlign w:val="bottom"/>
            <w:hideMark/>
          </w:tcPr>
          <w:p w14:paraId="720BD81E"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106,511 </w:t>
            </w:r>
          </w:p>
        </w:tc>
      </w:tr>
      <w:tr w:rsidR="00971A7A" w:rsidRPr="00971A7A" w14:paraId="6C6B34DC"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7A275C55"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3620-Science Data Processing</w:t>
            </w:r>
          </w:p>
        </w:tc>
        <w:tc>
          <w:tcPr>
            <w:tcW w:w="1016" w:type="dxa"/>
            <w:gridSpan w:val="2"/>
            <w:tcBorders>
              <w:top w:val="nil"/>
              <w:left w:val="nil"/>
              <w:bottom w:val="single" w:sz="4" w:space="0" w:color="auto"/>
              <w:right w:val="nil"/>
            </w:tcBorders>
            <w:shd w:val="clear" w:color="auto" w:fill="auto"/>
            <w:noWrap/>
            <w:vAlign w:val="bottom"/>
            <w:hideMark/>
          </w:tcPr>
          <w:p w14:paraId="530E14ED"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2.7</w:t>
            </w:r>
          </w:p>
        </w:tc>
        <w:tc>
          <w:tcPr>
            <w:tcW w:w="1232" w:type="dxa"/>
            <w:gridSpan w:val="2"/>
            <w:tcBorders>
              <w:top w:val="nil"/>
              <w:left w:val="nil"/>
              <w:bottom w:val="single" w:sz="4" w:space="0" w:color="auto"/>
              <w:right w:val="nil"/>
            </w:tcBorders>
            <w:shd w:val="clear" w:color="auto" w:fill="auto"/>
            <w:noWrap/>
            <w:vAlign w:val="bottom"/>
            <w:hideMark/>
          </w:tcPr>
          <w:p w14:paraId="5E459F3D"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516,493 </w:t>
            </w:r>
          </w:p>
        </w:tc>
        <w:tc>
          <w:tcPr>
            <w:tcW w:w="643" w:type="dxa"/>
            <w:gridSpan w:val="3"/>
            <w:tcBorders>
              <w:top w:val="nil"/>
              <w:left w:val="nil"/>
              <w:bottom w:val="single" w:sz="4" w:space="0" w:color="auto"/>
              <w:right w:val="nil"/>
            </w:tcBorders>
            <w:shd w:val="clear" w:color="auto" w:fill="auto"/>
            <w:noWrap/>
            <w:vAlign w:val="bottom"/>
            <w:hideMark/>
          </w:tcPr>
          <w:p w14:paraId="2FFACA84"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4337FE3F"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56219DFD"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single" w:sz="4" w:space="0" w:color="auto"/>
              <w:right w:val="nil"/>
            </w:tcBorders>
            <w:shd w:val="clear" w:color="auto" w:fill="auto"/>
            <w:noWrap/>
            <w:vAlign w:val="bottom"/>
            <w:hideMark/>
          </w:tcPr>
          <w:p w14:paraId="62B6CA5A"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single" w:sz="4" w:space="0" w:color="auto"/>
              <w:right w:val="nil"/>
            </w:tcBorders>
            <w:shd w:val="clear" w:color="auto" w:fill="auto"/>
            <w:noWrap/>
            <w:vAlign w:val="bottom"/>
            <w:hideMark/>
          </w:tcPr>
          <w:p w14:paraId="197DB790"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2.7</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06F7D320"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516,493 </w:t>
            </w:r>
          </w:p>
        </w:tc>
      </w:tr>
      <w:tr w:rsidR="00971A7A" w:rsidRPr="00971A7A" w14:paraId="0210FD83"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67D7CBA3"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3700-Science Software</w:t>
            </w:r>
          </w:p>
        </w:tc>
        <w:tc>
          <w:tcPr>
            <w:tcW w:w="1016" w:type="dxa"/>
            <w:gridSpan w:val="2"/>
            <w:tcBorders>
              <w:top w:val="single" w:sz="4" w:space="0" w:color="auto"/>
              <w:left w:val="nil"/>
              <w:bottom w:val="nil"/>
              <w:right w:val="nil"/>
            </w:tcBorders>
            <w:shd w:val="clear" w:color="auto" w:fill="auto"/>
            <w:noWrap/>
            <w:vAlign w:val="bottom"/>
            <w:hideMark/>
          </w:tcPr>
          <w:p w14:paraId="5CAC25D2"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0.65</w:t>
            </w:r>
          </w:p>
        </w:tc>
        <w:tc>
          <w:tcPr>
            <w:tcW w:w="1232" w:type="dxa"/>
            <w:gridSpan w:val="2"/>
            <w:tcBorders>
              <w:top w:val="single" w:sz="4" w:space="0" w:color="auto"/>
              <w:left w:val="nil"/>
              <w:bottom w:val="nil"/>
              <w:right w:val="nil"/>
            </w:tcBorders>
            <w:shd w:val="clear" w:color="auto" w:fill="auto"/>
            <w:noWrap/>
            <w:vAlign w:val="bottom"/>
            <w:hideMark/>
          </w:tcPr>
          <w:p w14:paraId="5333E1EC"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65,337 </w:t>
            </w:r>
          </w:p>
        </w:tc>
        <w:tc>
          <w:tcPr>
            <w:tcW w:w="643" w:type="dxa"/>
            <w:gridSpan w:val="3"/>
            <w:tcBorders>
              <w:top w:val="single" w:sz="4" w:space="0" w:color="auto"/>
              <w:left w:val="nil"/>
              <w:bottom w:val="nil"/>
              <w:right w:val="nil"/>
            </w:tcBorders>
            <w:shd w:val="clear" w:color="auto" w:fill="auto"/>
            <w:noWrap/>
            <w:vAlign w:val="bottom"/>
            <w:hideMark/>
          </w:tcPr>
          <w:p w14:paraId="086F0583"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26331FD9"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12599696"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single" w:sz="4" w:space="0" w:color="auto"/>
              <w:left w:val="nil"/>
              <w:bottom w:val="nil"/>
              <w:right w:val="nil"/>
            </w:tcBorders>
            <w:shd w:val="clear" w:color="auto" w:fill="auto"/>
            <w:noWrap/>
            <w:vAlign w:val="bottom"/>
            <w:hideMark/>
          </w:tcPr>
          <w:p w14:paraId="11F2A84D"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nil"/>
              <w:right w:val="nil"/>
            </w:tcBorders>
            <w:shd w:val="clear" w:color="auto" w:fill="auto"/>
            <w:noWrap/>
            <w:vAlign w:val="bottom"/>
            <w:hideMark/>
          </w:tcPr>
          <w:p w14:paraId="252F411B"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0.65</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20E165F4"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65,337 </w:t>
            </w:r>
          </w:p>
        </w:tc>
      </w:tr>
      <w:tr w:rsidR="00971A7A" w:rsidRPr="00971A7A" w14:paraId="2C219943"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60DA4316"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3710-Post Processing Software</w:t>
            </w:r>
          </w:p>
        </w:tc>
        <w:tc>
          <w:tcPr>
            <w:tcW w:w="1016" w:type="dxa"/>
            <w:gridSpan w:val="2"/>
            <w:tcBorders>
              <w:top w:val="nil"/>
              <w:left w:val="nil"/>
              <w:bottom w:val="single" w:sz="4" w:space="0" w:color="auto"/>
              <w:right w:val="nil"/>
            </w:tcBorders>
            <w:shd w:val="clear" w:color="auto" w:fill="auto"/>
            <w:noWrap/>
            <w:vAlign w:val="bottom"/>
            <w:hideMark/>
          </w:tcPr>
          <w:p w14:paraId="304C7B30"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0.65</w:t>
            </w:r>
          </w:p>
        </w:tc>
        <w:tc>
          <w:tcPr>
            <w:tcW w:w="1232" w:type="dxa"/>
            <w:gridSpan w:val="2"/>
            <w:tcBorders>
              <w:top w:val="nil"/>
              <w:left w:val="nil"/>
              <w:bottom w:val="single" w:sz="4" w:space="0" w:color="auto"/>
              <w:right w:val="nil"/>
            </w:tcBorders>
            <w:shd w:val="clear" w:color="auto" w:fill="auto"/>
            <w:noWrap/>
            <w:vAlign w:val="bottom"/>
            <w:hideMark/>
          </w:tcPr>
          <w:p w14:paraId="011EA2E7"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65,337 </w:t>
            </w:r>
          </w:p>
        </w:tc>
        <w:tc>
          <w:tcPr>
            <w:tcW w:w="643" w:type="dxa"/>
            <w:gridSpan w:val="3"/>
            <w:tcBorders>
              <w:top w:val="nil"/>
              <w:left w:val="nil"/>
              <w:bottom w:val="single" w:sz="4" w:space="0" w:color="auto"/>
              <w:right w:val="nil"/>
            </w:tcBorders>
            <w:shd w:val="clear" w:color="auto" w:fill="auto"/>
            <w:noWrap/>
            <w:vAlign w:val="bottom"/>
            <w:hideMark/>
          </w:tcPr>
          <w:p w14:paraId="0F5C2FD1"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5EA32BBC"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34D1A33A"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single" w:sz="4" w:space="0" w:color="auto"/>
              <w:right w:val="nil"/>
            </w:tcBorders>
            <w:shd w:val="clear" w:color="auto" w:fill="auto"/>
            <w:noWrap/>
            <w:vAlign w:val="bottom"/>
            <w:hideMark/>
          </w:tcPr>
          <w:p w14:paraId="696FB4A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single" w:sz="4" w:space="0" w:color="auto"/>
              <w:right w:val="nil"/>
            </w:tcBorders>
            <w:shd w:val="clear" w:color="auto" w:fill="auto"/>
            <w:noWrap/>
            <w:vAlign w:val="bottom"/>
            <w:hideMark/>
          </w:tcPr>
          <w:p w14:paraId="7D721034"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0.65</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1BE49B2C"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65,337 </w:t>
            </w:r>
          </w:p>
        </w:tc>
      </w:tr>
      <w:tr w:rsidR="00971A7A" w:rsidRPr="00971A7A" w14:paraId="78E41722" w14:textId="77777777" w:rsidTr="009924E1">
        <w:trPr>
          <w:gridAfter w:val="1"/>
          <w:wAfter w:w="130" w:type="dxa"/>
          <w:trHeight w:val="300"/>
        </w:trPr>
        <w:tc>
          <w:tcPr>
            <w:tcW w:w="2520" w:type="dxa"/>
            <w:tcBorders>
              <w:top w:val="single" w:sz="4" w:space="0" w:color="auto"/>
              <w:left w:val="single" w:sz="4" w:space="0" w:color="auto"/>
              <w:bottom w:val="single" w:sz="4" w:space="0" w:color="auto"/>
              <w:right w:val="nil"/>
            </w:tcBorders>
            <w:shd w:val="clear" w:color="auto" w:fill="auto"/>
            <w:noWrap/>
            <w:vAlign w:val="bottom"/>
            <w:hideMark/>
          </w:tcPr>
          <w:p w14:paraId="2001749C" w14:textId="77777777" w:rsidR="00971A7A" w:rsidRPr="00971A7A" w:rsidRDefault="00971A7A" w:rsidP="00971A7A">
            <w:pPr>
              <w:spacing w:after="0" w:line="240" w:lineRule="auto"/>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4000-Administrative Services</w:t>
            </w:r>
          </w:p>
        </w:tc>
        <w:tc>
          <w:tcPr>
            <w:tcW w:w="1016" w:type="dxa"/>
            <w:gridSpan w:val="2"/>
            <w:tcBorders>
              <w:top w:val="single" w:sz="4" w:space="0" w:color="auto"/>
              <w:left w:val="nil"/>
              <w:bottom w:val="single" w:sz="4" w:space="0" w:color="auto"/>
              <w:right w:val="nil"/>
            </w:tcBorders>
            <w:shd w:val="clear" w:color="auto" w:fill="auto"/>
            <w:noWrap/>
            <w:vAlign w:val="bottom"/>
            <w:hideMark/>
          </w:tcPr>
          <w:p w14:paraId="72E35345"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13.82</w:t>
            </w:r>
          </w:p>
        </w:tc>
        <w:tc>
          <w:tcPr>
            <w:tcW w:w="1232" w:type="dxa"/>
            <w:gridSpan w:val="2"/>
            <w:tcBorders>
              <w:top w:val="single" w:sz="4" w:space="0" w:color="auto"/>
              <w:left w:val="nil"/>
              <w:bottom w:val="single" w:sz="4" w:space="0" w:color="auto"/>
              <w:right w:val="nil"/>
            </w:tcBorders>
            <w:shd w:val="clear" w:color="auto" w:fill="auto"/>
            <w:noWrap/>
            <w:vAlign w:val="bottom"/>
            <w:hideMark/>
          </w:tcPr>
          <w:p w14:paraId="15FE6CAA"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4,771,337 </w:t>
            </w:r>
          </w:p>
        </w:tc>
        <w:tc>
          <w:tcPr>
            <w:tcW w:w="643" w:type="dxa"/>
            <w:gridSpan w:val="3"/>
            <w:tcBorders>
              <w:top w:val="single" w:sz="4" w:space="0" w:color="auto"/>
              <w:left w:val="nil"/>
              <w:bottom w:val="single" w:sz="4" w:space="0" w:color="auto"/>
              <w:right w:val="nil"/>
            </w:tcBorders>
            <w:shd w:val="clear" w:color="auto" w:fill="auto"/>
            <w:noWrap/>
            <w:vAlign w:val="bottom"/>
            <w:hideMark/>
          </w:tcPr>
          <w:p w14:paraId="5C9B6D21"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single" w:sz="4" w:space="0" w:color="auto"/>
              <w:right w:val="nil"/>
            </w:tcBorders>
            <w:shd w:val="clear" w:color="auto" w:fill="auto"/>
            <w:noWrap/>
            <w:vAlign w:val="bottom"/>
            <w:hideMark/>
          </w:tcPr>
          <w:p w14:paraId="51B66DBE"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140,660 </w:t>
            </w:r>
          </w:p>
        </w:tc>
        <w:tc>
          <w:tcPr>
            <w:tcW w:w="489" w:type="dxa"/>
            <w:gridSpan w:val="2"/>
            <w:tcBorders>
              <w:top w:val="single" w:sz="4" w:space="0" w:color="auto"/>
              <w:left w:val="nil"/>
              <w:bottom w:val="single" w:sz="4" w:space="0" w:color="auto"/>
              <w:right w:val="nil"/>
            </w:tcBorders>
            <w:shd w:val="clear" w:color="auto" w:fill="auto"/>
            <w:noWrap/>
            <w:vAlign w:val="bottom"/>
            <w:hideMark/>
          </w:tcPr>
          <w:p w14:paraId="5E9CFB4C"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22</w:t>
            </w:r>
          </w:p>
        </w:tc>
        <w:tc>
          <w:tcPr>
            <w:tcW w:w="1008" w:type="dxa"/>
            <w:gridSpan w:val="5"/>
            <w:tcBorders>
              <w:top w:val="single" w:sz="4" w:space="0" w:color="auto"/>
              <w:left w:val="nil"/>
              <w:bottom w:val="single" w:sz="4" w:space="0" w:color="auto"/>
              <w:right w:val="nil"/>
            </w:tcBorders>
            <w:shd w:val="clear" w:color="auto" w:fill="auto"/>
            <w:noWrap/>
            <w:vAlign w:val="bottom"/>
            <w:hideMark/>
          </w:tcPr>
          <w:p w14:paraId="47617451"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(79,980)</w:t>
            </w:r>
          </w:p>
        </w:tc>
        <w:tc>
          <w:tcPr>
            <w:tcW w:w="665" w:type="dxa"/>
            <w:gridSpan w:val="3"/>
            <w:tcBorders>
              <w:top w:val="single" w:sz="4" w:space="0" w:color="auto"/>
              <w:left w:val="nil"/>
              <w:bottom w:val="single" w:sz="4" w:space="0" w:color="auto"/>
              <w:right w:val="nil"/>
            </w:tcBorders>
            <w:shd w:val="clear" w:color="auto" w:fill="auto"/>
            <w:noWrap/>
            <w:vAlign w:val="bottom"/>
            <w:hideMark/>
          </w:tcPr>
          <w:p w14:paraId="00B81BE0"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35.56</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1208B0"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4,832,017 </w:t>
            </w:r>
          </w:p>
        </w:tc>
      </w:tr>
      <w:tr w:rsidR="00971A7A" w:rsidRPr="00971A7A" w14:paraId="5B6B3975"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61587ED4"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4100-Business Services</w:t>
            </w:r>
          </w:p>
        </w:tc>
        <w:tc>
          <w:tcPr>
            <w:tcW w:w="1016" w:type="dxa"/>
            <w:gridSpan w:val="2"/>
            <w:tcBorders>
              <w:top w:val="single" w:sz="4" w:space="0" w:color="auto"/>
              <w:left w:val="nil"/>
              <w:bottom w:val="nil"/>
              <w:right w:val="nil"/>
            </w:tcBorders>
            <w:shd w:val="clear" w:color="auto" w:fill="auto"/>
            <w:noWrap/>
            <w:vAlign w:val="bottom"/>
            <w:hideMark/>
          </w:tcPr>
          <w:p w14:paraId="1B067CD6"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1232" w:type="dxa"/>
            <w:gridSpan w:val="2"/>
            <w:tcBorders>
              <w:top w:val="single" w:sz="4" w:space="0" w:color="auto"/>
              <w:left w:val="nil"/>
              <w:bottom w:val="nil"/>
              <w:right w:val="nil"/>
            </w:tcBorders>
            <w:shd w:val="clear" w:color="auto" w:fill="auto"/>
            <w:noWrap/>
            <w:vAlign w:val="bottom"/>
            <w:hideMark/>
          </w:tcPr>
          <w:p w14:paraId="62EFCDD8"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0 </w:t>
            </w:r>
          </w:p>
        </w:tc>
        <w:tc>
          <w:tcPr>
            <w:tcW w:w="643" w:type="dxa"/>
            <w:gridSpan w:val="3"/>
            <w:tcBorders>
              <w:top w:val="single" w:sz="4" w:space="0" w:color="auto"/>
              <w:left w:val="nil"/>
              <w:bottom w:val="nil"/>
              <w:right w:val="nil"/>
            </w:tcBorders>
            <w:shd w:val="clear" w:color="auto" w:fill="auto"/>
            <w:noWrap/>
            <w:vAlign w:val="bottom"/>
            <w:hideMark/>
          </w:tcPr>
          <w:p w14:paraId="24B8C8D6"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5FFD8CC3"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1D0DF892"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5.8</w:t>
            </w:r>
          </w:p>
        </w:tc>
        <w:tc>
          <w:tcPr>
            <w:tcW w:w="1008" w:type="dxa"/>
            <w:gridSpan w:val="5"/>
            <w:tcBorders>
              <w:top w:val="single" w:sz="4" w:space="0" w:color="auto"/>
              <w:left w:val="nil"/>
              <w:bottom w:val="nil"/>
              <w:right w:val="nil"/>
            </w:tcBorders>
            <w:shd w:val="clear" w:color="auto" w:fill="auto"/>
            <w:noWrap/>
            <w:vAlign w:val="bottom"/>
            <w:hideMark/>
          </w:tcPr>
          <w:p w14:paraId="3C05C9D0"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568,471 </w:t>
            </w:r>
          </w:p>
        </w:tc>
        <w:tc>
          <w:tcPr>
            <w:tcW w:w="665" w:type="dxa"/>
            <w:gridSpan w:val="3"/>
            <w:tcBorders>
              <w:top w:val="single" w:sz="4" w:space="0" w:color="auto"/>
              <w:left w:val="nil"/>
              <w:bottom w:val="nil"/>
              <w:right w:val="nil"/>
            </w:tcBorders>
            <w:shd w:val="clear" w:color="auto" w:fill="auto"/>
            <w:noWrap/>
            <w:vAlign w:val="bottom"/>
            <w:hideMark/>
          </w:tcPr>
          <w:p w14:paraId="451C030F"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5.83</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5EAE2FC3"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568,471 </w:t>
            </w:r>
          </w:p>
        </w:tc>
      </w:tr>
      <w:tr w:rsidR="00971A7A" w:rsidRPr="00971A7A" w14:paraId="0703F5BC"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3B8833BE"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4110-Business Office</w:t>
            </w:r>
          </w:p>
        </w:tc>
        <w:tc>
          <w:tcPr>
            <w:tcW w:w="1016" w:type="dxa"/>
            <w:gridSpan w:val="2"/>
            <w:tcBorders>
              <w:top w:val="nil"/>
              <w:left w:val="nil"/>
              <w:bottom w:val="nil"/>
              <w:right w:val="nil"/>
            </w:tcBorders>
            <w:shd w:val="clear" w:color="auto" w:fill="auto"/>
            <w:noWrap/>
            <w:vAlign w:val="bottom"/>
            <w:hideMark/>
          </w:tcPr>
          <w:p w14:paraId="7335CBA0"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1232" w:type="dxa"/>
            <w:gridSpan w:val="2"/>
            <w:tcBorders>
              <w:top w:val="nil"/>
              <w:left w:val="nil"/>
              <w:bottom w:val="nil"/>
              <w:right w:val="nil"/>
            </w:tcBorders>
            <w:shd w:val="clear" w:color="auto" w:fill="auto"/>
            <w:noWrap/>
            <w:vAlign w:val="bottom"/>
            <w:hideMark/>
          </w:tcPr>
          <w:p w14:paraId="71D19D87"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0 </w:t>
            </w:r>
          </w:p>
        </w:tc>
        <w:tc>
          <w:tcPr>
            <w:tcW w:w="643" w:type="dxa"/>
            <w:gridSpan w:val="3"/>
            <w:tcBorders>
              <w:top w:val="nil"/>
              <w:left w:val="nil"/>
              <w:bottom w:val="nil"/>
              <w:right w:val="nil"/>
            </w:tcBorders>
            <w:shd w:val="clear" w:color="auto" w:fill="auto"/>
            <w:noWrap/>
            <w:vAlign w:val="bottom"/>
            <w:hideMark/>
          </w:tcPr>
          <w:p w14:paraId="11952D2C"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22F29E78"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50B61EE2"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4</w:t>
            </w:r>
          </w:p>
        </w:tc>
        <w:tc>
          <w:tcPr>
            <w:tcW w:w="1008" w:type="dxa"/>
            <w:gridSpan w:val="5"/>
            <w:tcBorders>
              <w:top w:val="nil"/>
              <w:left w:val="nil"/>
              <w:bottom w:val="nil"/>
              <w:right w:val="nil"/>
            </w:tcBorders>
            <w:shd w:val="clear" w:color="auto" w:fill="auto"/>
            <w:noWrap/>
            <w:vAlign w:val="bottom"/>
            <w:hideMark/>
          </w:tcPr>
          <w:p w14:paraId="75CBB444"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347,876 </w:t>
            </w:r>
          </w:p>
        </w:tc>
        <w:tc>
          <w:tcPr>
            <w:tcW w:w="665" w:type="dxa"/>
            <w:gridSpan w:val="3"/>
            <w:tcBorders>
              <w:top w:val="nil"/>
              <w:left w:val="nil"/>
              <w:bottom w:val="nil"/>
              <w:right w:val="nil"/>
            </w:tcBorders>
            <w:shd w:val="clear" w:color="auto" w:fill="auto"/>
            <w:noWrap/>
            <w:vAlign w:val="bottom"/>
            <w:hideMark/>
          </w:tcPr>
          <w:p w14:paraId="22CF91B0"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4</w:t>
            </w:r>
          </w:p>
        </w:tc>
        <w:tc>
          <w:tcPr>
            <w:tcW w:w="975" w:type="dxa"/>
            <w:gridSpan w:val="2"/>
            <w:tcBorders>
              <w:top w:val="nil"/>
              <w:left w:val="nil"/>
              <w:bottom w:val="nil"/>
              <w:right w:val="single" w:sz="4" w:space="0" w:color="auto"/>
            </w:tcBorders>
            <w:shd w:val="clear" w:color="auto" w:fill="auto"/>
            <w:noWrap/>
            <w:vAlign w:val="bottom"/>
            <w:hideMark/>
          </w:tcPr>
          <w:p w14:paraId="1014BF84"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347,876 </w:t>
            </w:r>
          </w:p>
        </w:tc>
      </w:tr>
      <w:tr w:rsidR="00971A7A" w:rsidRPr="00971A7A" w14:paraId="4CD9A224"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3DF6EB6A"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4120-CIS</w:t>
            </w:r>
          </w:p>
        </w:tc>
        <w:tc>
          <w:tcPr>
            <w:tcW w:w="1016" w:type="dxa"/>
            <w:gridSpan w:val="2"/>
            <w:tcBorders>
              <w:top w:val="nil"/>
              <w:left w:val="nil"/>
              <w:bottom w:val="single" w:sz="4" w:space="0" w:color="auto"/>
              <w:right w:val="nil"/>
            </w:tcBorders>
            <w:shd w:val="clear" w:color="auto" w:fill="auto"/>
            <w:noWrap/>
            <w:vAlign w:val="bottom"/>
            <w:hideMark/>
          </w:tcPr>
          <w:p w14:paraId="44B20B3D"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p>
        </w:tc>
        <w:tc>
          <w:tcPr>
            <w:tcW w:w="1232" w:type="dxa"/>
            <w:gridSpan w:val="2"/>
            <w:tcBorders>
              <w:top w:val="nil"/>
              <w:left w:val="nil"/>
              <w:bottom w:val="single" w:sz="4" w:space="0" w:color="auto"/>
              <w:right w:val="nil"/>
            </w:tcBorders>
            <w:shd w:val="clear" w:color="auto" w:fill="auto"/>
            <w:noWrap/>
            <w:vAlign w:val="bottom"/>
            <w:hideMark/>
          </w:tcPr>
          <w:p w14:paraId="7D65F2CE"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43" w:type="dxa"/>
            <w:gridSpan w:val="3"/>
            <w:tcBorders>
              <w:top w:val="nil"/>
              <w:left w:val="nil"/>
              <w:bottom w:val="single" w:sz="4" w:space="0" w:color="auto"/>
              <w:right w:val="nil"/>
            </w:tcBorders>
            <w:shd w:val="clear" w:color="auto" w:fill="auto"/>
            <w:noWrap/>
            <w:vAlign w:val="bottom"/>
            <w:hideMark/>
          </w:tcPr>
          <w:p w14:paraId="4B20CC43"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4448F0E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3D4E50C4"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1.8</w:t>
            </w:r>
          </w:p>
        </w:tc>
        <w:tc>
          <w:tcPr>
            <w:tcW w:w="1008" w:type="dxa"/>
            <w:gridSpan w:val="5"/>
            <w:tcBorders>
              <w:top w:val="nil"/>
              <w:left w:val="nil"/>
              <w:bottom w:val="single" w:sz="4" w:space="0" w:color="auto"/>
              <w:right w:val="nil"/>
            </w:tcBorders>
            <w:shd w:val="clear" w:color="auto" w:fill="auto"/>
            <w:noWrap/>
            <w:vAlign w:val="bottom"/>
            <w:hideMark/>
          </w:tcPr>
          <w:p w14:paraId="007D454D"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220,594 </w:t>
            </w:r>
          </w:p>
        </w:tc>
        <w:tc>
          <w:tcPr>
            <w:tcW w:w="665" w:type="dxa"/>
            <w:gridSpan w:val="3"/>
            <w:tcBorders>
              <w:top w:val="nil"/>
              <w:left w:val="nil"/>
              <w:bottom w:val="single" w:sz="4" w:space="0" w:color="auto"/>
              <w:right w:val="nil"/>
            </w:tcBorders>
            <w:shd w:val="clear" w:color="auto" w:fill="auto"/>
            <w:noWrap/>
            <w:vAlign w:val="bottom"/>
            <w:hideMark/>
          </w:tcPr>
          <w:p w14:paraId="60D84322"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1.83</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639456FA"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220,594 </w:t>
            </w:r>
          </w:p>
        </w:tc>
      </w:tr>
      <w:tr w:rsidR="00971A7A" w:rsidRPr="00971A7A" w14:paraId="37CA7E9F"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542E1971"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4200-Facilities</w:t>
            </w:r>
          </w:p>
        </w:tc>
        <w:tc>
          <w:tcPr>
            <w:tcW w:w="1016" w:type="dxa"/>
            <w:gridSpan w:val="2"/>
            <w:tcBorders>
              <w:top w:val="single" w:sz="4" w:space="0" w:color="auto"/>
              <w:left w:val="nil"/>
              <w:bottom w:val="nil"/>
              <w:right w:val="nil"/>
            </w:tcBorders>
            <w:shd w:val="clear" w:color="auto" w:fill="auto"/>
            <w:noWrap/>
            <w:vAlign w:val="bottom"/>
            <w:hideMark/>
          </w:tcPr>
          <w:p w14:paraId="0792E024"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1.67</w:t>
            </w:r>
          </w:p>
        </w:tc>
        <w:tc>
          <w:tcPr>
            <w:tcW w:w="1232" w:type="dxa"/>
            <w:gridSpan w:val="2"/>
            <w:tcBorders>
              <w:top w:val="single" w:sz="4" w:space="0" w:color="auto"/>
              <w:left w:val="nil"/>
              <w:bottom w:val="nil"/>
              <w:right w:val="nil"/>
            </w:tcBorders>
            <w:shd w:val="clear" w:color="auto" w:fill="auto"/>
            <w:noWrap/>
            <w:vAlign w:val="bottom"/>
            <w:hideMark/>
          </w:tcPr>
          <w:p w14:paraId="28AD819F"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309,271 </w:t>
            </w:r>
          </w:p>
        </w:tc>
        <w:tc>
          <w:tcPr>
            <w:tcW w:w="643" w:type="dxa"/>
            <w:gridSpan w:val="3"/>
            <w:tcBorders>
              <w:top w:val="single" w:sz="4" w:space="0" w:color="auto"/>
              <w:left w:val="nil"/>
              <w:bottom w:val="nil"/>
              <w:right w:val="nil"/>
            </w:tcBorders>
            <w:shd w:val="clear" w:color="auto" w:fill="auto"/>
            <w:noWrap/>
            <w:vAlign w:val="bottom"/>
            <w:hideMark/>
          </w:tcPr>
          <w:p w14:paraId="2352819D"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2F431723"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3BDB6EE9"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13</w:t>
            </w:r>
          </w:p>
        </w:tc>
        <w:tc>
          <w:tcPr>
            <w:tcW w:w="1008" w:type="dxa"/>
            <w:gridSpan w:val="5"/>
            <w:tcBorders>
              <w:top w:val="single" w:sz="4" w:space="0" w:color="auto"/>
              <w:left w:val="nil"/>
              <w:bottom w:val="nil"/>
              <w:right w:val="nil"/>
            </w:tcBorders>
            <w:shd w:val="clear" w:color="auto" w:fill="auto"/>
            <w:noWrap/>
            <w:vAlign w:val="bottom"/>
            <w:hideMark/>
          </w:tcPr>
          <w:p w14:paraId="6C3AA846"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1,518,595 </w:t>
            </w:r>
          </w:p>
        </w:tc>
        <w:tc>
          <w:tcPr>
            <w:tcW w:w="665" w:type="dxa"/>
            <w:gridSpan w:val="3"/>
            <w:tcBorders>
              <w:top w:val="single" w:sz="4" w:space="0" w:color="auto"/>
              <w:left w:val="nil"/>
              <w:bottom w:val="nil"/>
              <w:right w:val="nil"/>
            </w:tcBorders>
            <w:shd w:val="clear" w:color="auto" w:fill="auto"/>
            <w:noWrap/>
            <w:vAlign w:val="bottom"/>
            <w:hideMark/>
          </w:tcPr>
          <w:p w14:paraId="21567826"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15.08</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0D4C00E1"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1,827,866 </w:t>
            </w:r>
          </w:p>
        </w:tc>
      </w:tr>
      <w:tr w:rsidR="00971A7A" w:rsidRPr="00971A7A" w14:paraId="0BAA5D5C"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6E686D28"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4210-Building/Plant Maintenance</w:t>
            </w:r>
          </w:p>
        </w:tc>
        <w:tc>
          <w:tcPr>
            <w:tcW w:w="1016" w:type="dxa"/>
            <w:gridSpan w:val="2"/>
            <w:tcBorders>
              <w:top w:val="nil"/>
              <w:left w:val="nil"/>
              <w:bottom w:val="nil"/>
              <w:right w:val="nil"/>
            </w:tcBorders>
            <w:shd w:val="clear" w:color="auto" w:fill="auto"/>
            <w:noWrap/>
            <w:vAlign w:val="bottom"/>
            <w:hideMark/>
          </w:tcPr>
          <w:p w14:paraId="373077BD"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p>
        </w:tc>
        <w:tc>
          <w:tcPr>
            <w:tcW w:w="1232" w:type="dxa"/>
            <w:gridSpan w:val="2"/>
            <w:tcBorders>
              <w:top w:val="nil"/>
              <w:left w:val="nil"/>
              <w:bottom w:val="nil"/>
              <w:right w:val="nil"/>
            </w:tcBorders>
            <w:shd w:val="clear" w:color="auto" w:fill="auto"/>
            <w:noWrap/>
            <w:vAlign w:val="bottom"/>
            <w:hideMark/>
          </w:tcPr>
          <w:p w14:paraId="596E7031"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43" w:type="dxa"/>
            <w:gridSpan w:val="3"/>
            <w:tcBorders>
              <w:top w:val="nil"/>
              <w:left w:val="nil"/>
              <w:bottom w:val="nil"/>
              <w:right w:val="nil"/>
            </w:tcBorders>
            <w:shd w:val="clear" w:color="auto" w:fill="auto"/>
            <w:noWrap/>
            <w:vAlign w:val="bottom"/>
            <w:hideMark/>
          </w:tcPr>
          <w:p w14:paraId="7CD2DC2B"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987" w:type="dxa"/>
            <w:gridSpan w:val="4"/>
            <w:tcBorders>
              <w:top w:val="nil"/>
              <w:left w:val="nil"/>
              <w:bottom w:val="nil"/>
              <w:right w:val="nil"/>
            </w:tcBorders>
            <w:shd w:val="clear" w:color="auto" w:fill="auto"/>
            <w:noWrap/>
            <w:vAlign w:val="bottom"/>
            <w:hideMark/>
          </w:tcPr>
          <w:p w14:paraId="40554BB1"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234598B3"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13</w:t>
            </w:r>
          </w:p>
        </w:tc>
        <w:tc>
          <w:tcPr>
            <w:tcW w:w="1008" w:type="dxa"/>
            <w:gridSpan w:val="5"/>
            <w:tcBorders>
              <w:top w:val="nil"/>
              <w:left w:val="nil"/>
              <w:bottom w:val="nil"/>
              <w:right w:val="nil"/>
            </w:tcBorders>
            <w:shd w:val="clear" w:color="auto" w:fill="auto"/>
            <w:noWrap/>
            <w:vAlign w:val="bottom"/>
            <w:hideMark/>
          </w:tcPr>
          <w:p w14:paraId="3FFFC4DF"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974,077 </w:t>
            </w:r>
          </w:p>
        </w:tc>
        <w:tc>
          <w:tcPr>
            <w:tcW w:w="665" w:type="dxa"/>
            <w:gridSpan w:val="3"/>
            <w:tcBorders>
              <w:top w:val="nil"/>
              <w:left w:val="nil"/>
              <w:bottom w:val="nil"/>
              <w:right w:val="nil"/>
            </w:tcBorders>
            <w:shd w:val="clear" w:color="auto" w:fill="auto"/>
            <w:noWrap/>
            <w:vAlign w:val="bottom"/>
            <w:hideMark/>
          </w:tcPr>
          <w:p w14:paraId="5230818B"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12.61</w:t>
            </w:r>
          </w:p>
        </w:tc>
        <w:tc>
          <w:tcPr>
            <w:tcW w:w="975" w:type="dxa"/>
            <w:gridSpan w:val="2"/>
            <w:tcBorders>
              <w:top w:val="nil"/>
              <w:left w:val="nil"/>
              <w:bottom w:val="nil"/>
              <w:right w:val="single" w:sz="4" w:space="0" w:color="auto"/>
            </w:tcBorders>
            <w:shd w:val="clear" w:color="auto" w:fill="auto"/>
            <w:noWrap/>
            <w:vAlign w:val="bottom"/>
            <w:hideMark/>
          </w:tcPr>
          <w:p w14:paraId="29E685DE"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974,077 </w:t>
            </w:r>
          </w:p>
        </w:tc>
      </w:tr>
      <w:tr w:rsidR="00971A7A" w:rsidRPr="00971A7A" w14:paraId="48995C8D"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21CC3F62"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4220-Communication</w:t>
            </w:r>
          </w:p>
        </w:tc>
        <w:tc>
          <w:tcPr>
            <w:tcW w:w="1016" w:type="dxa"/>
            <w:gridSpan w:val="2"/>
            <w:tcBorders>
              <w:top w:val="nil"/>
              <w:left w:val="nil"/>
              <w:bottom w:val="nil"/>
              <w:right w:val="nil"/>
            </w:tcBorders>
            <w:shd w:val="clear" w:color="auto" w:fill="auto"/>
            <w:noWrap/>
            <w:vAlign w:val="bottom"/>
            <w:hideMark/>
          </w:tcPr>
          <w:p w14:paraId="33A8457B"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p>
        </w:tc>
        <w:tc>
          <w:tcPr>
            <w:tcW w:w="1232" w:type="dxa"/>
            <w:gridSpan w:val="2"/>
            <w:tcBorders>
              <w:top w:val="nil"/>
              <w:left w:val="nil"/>
              <w:bottom w:val="nil"/>
              <w:right w:val="nil"/>
            </w:tcBorders>
            <w:shd w:val="clear" w:color="auto" w:fill="auto"/>
            <w:noWrap/>
            <w:vAlign w:val="bottom"/>
            <w:hideMark/>
          </w:tcPr>
          <w:p w14:paraId="597E3FF9"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43" w:type="dxa"/>
            <w:gridSpan w:val="3"/>
            <w:tcBorders>
              <w:top w:val="nil"/>
              <w:left w:val="nil"/>
              <w:bottom w:val="nil"/>
              <w:right w:val="nil"/>
            </w:tcBorders>
            <w:shd w:val="clear" w:color="auto" w:fill="auto"/>
            <w:noWrap/>
            <w:vAlign w:val="bottom"/>
            <w:hideMark/>
          </w:tcPr>
          <w:p w14:paraId="5B690773"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987" w:type="dxa"/>
            <w:gridSpan w:val="4"/>
            <w:tcBorders>
              <w:top w:val="nil"/>
              <w:left w:val="nil"/>
              <w:bottom w:val="nil"/>
              <w:right w:val="nil"/>
            </w:tcBorders>
            <w:shd w:val="clear" w:color="auto" w:fill="auto"/>
            <w:noWrap/>
            <w:vAlign w:val="bottom"/>
            <w:hideMark/>
          </w:tcPr>
          <w:p w14:paraId="674FB85E"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7860D612"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1008" w:type="dxa"/>
            <w:gridSpan w:val="5"/>
            <w:tcBorders>
              <w:top w:val="nil"/>
              <w:left w:val="nil"/>
              <w:bottom w:val="nil"/>
              <w:right w:val="nil"/>
            </w:tcBorders>
            <w:shd w:val="clear" w:color="auto" w:fill="auto"/>
            <w:noWrap/>
            <w:vAlign w:val="bottom"/>
            <w:hideMark/>
          </w:tcPr>
          <w:p w14:paraId="36016E45"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54,905 </w:t>
            </w:r>
          </w:p>
        </w:tc>
        <w:tc>
          <w:tcPr>
            <w:tcW w:w="665" w:type="dxa"/>
            <w:gridSpan w:val="3"/>
            <w:tcBorders>
              <w:top w:val="nil"/>
              <w:left w:val="nil"/>
              <w:bottom w:val="nil"/>
              <w:right w:val="nil"/>
            </w:tcBorders>
            <w:shd w:val="clear" w:color="auto" w:fill="auto"/>
            <w:noWrap/>
            <w:vAlign w:val="bottom"/>
            <w:hideMark/>
          </w:tcPr>
          <w:p w14:paraId="6FF01F1C"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975" w:type="dxa"/>
            <w:gridSpan w:val="2"/>
            <w:tcBorders>
              <w:top w:val="nil"/>
              <w:left w:val="nil"/>
              <w:bottom w:val="nil"/>
              <w:right w:val="single" w:sz="4" w:space="0" w:color="auto"/>
            </w:tcBorders>
            <w:shd w:val="clear" w:color="auto" w:fill="auto"/>
            <w:noWrap/>
            <w:vAlign w:val="bottom"/>
            <w:hideMark/>
          </w:tcPr>
          <w:p w14:paraId="69E67167"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54,905 </w:t>
            </w:r>
          </w:p>
        </w:tc>
      </w:tr>
      <w:tr w:rsidR="00971A7A" w:rsidRPr="00971A7A" w14:paraId="7274665E"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3E8068C9"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4230-Utilities</w:t>
            </w:r>
          </w:p>
        </w:tc>
        <w:tc>
          <w:tcPr>
            <w:tcW w:w="1016" w:type="dxa"/>
            <w:gridSpan w:val="2"/>
            <w:tcBorders>
              <w:top w:val="nil"/>
              <w:left w:val="nil"/>
              <w:bottom w:val="nil"/>
              <w:right w:val="nil"/>
            </w:tcBorders>
            <w:shd w:val="clear" w:color="auto" w:fill="auto"/>
            <w:noWrap/>
            <w:vAlign w:val="bottom"/>
            <w:hideMark/>
          </w:tcPr>
          <w:p w14:paraId="5F40BF82"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1232" w:type="dxa"/>
            <w:gridSpan w:val="2"/>
            <w:tcBorders>
              <w:top w:val="nil"/>
              <w:left w:val="nil"/>
              <w:bottom w:val="nil"/>
              <w:right w:val="nil"/>
            </w:tcBorders>
            <w:shd w:val="clear" w:color="auto" w:fill="auto"/>
            <w:noWrap/>
            <w:vAlign w:val="bottom"/>
            <w:hideMark/>
          </w:tcPr>
          <w:p w14:paraId="51FFCBEC"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121,328 </w:t>
            </w:r>
          </w:p>
        </w:tc>
        <w:tc>
          <w:tcPr>
            <w:tcW w:w="643" w:type="dxa"/>
            <w:gridSpan w:val="3"/>
            <w:tcBorders>
              <w:top w:val="nil"/>
              <w:left w:val="nil"/>
              <w:bottom w:val="nil"/>
              <w:right w:val="nil"/>
            </w:tcBorders>
            <w:shd w:val="clear" w:color="auto" w:fill="auto"/>
            <w:noWrap/>
            <w:vAlign w:val="bottom"/>
            <w:hideMark/>
          </w:tcPr>
          <w:p w14:paraId="5D3EF393"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53133C3F"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23FB21AB"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1008" w:type="dxa"/>
            <w:gridSpan w:val="5"/>
            <w:tcBorders>
              <w:top w:val="nil"/>
              <w:left w:val="nil"/>
              <w:bottom w:val="nil"/>
              <w:right w:val="nil"/>
            </w:tcBorders>
            <w:shd w:val="clear" w:color="auto" w:fill="auto"/>
            <w:noWrap/>
            <w:vAlign w:val="bottom"/>
            <w:hideMark/>
          </w:tcPr>
          <w:p w14:paraId="74475C5C"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373,810 </w:t>
            </w:r>
          </w:p>
        </w:tc>
        <w:tc>
          <w:tcPr>
            <w:tcW w:w="665" w:type="dxa"/>
            <w:gridSpan w:val="3"/>
            <w:tcBorders>
              <w:top w:val="nil"/>
              <w:left w:val="nil"/>
              <w:bottom w:val="nil"/>
              <w:right w:val="nil"/>
            </w:tcBorders>
            <w:shd w:val="clear" w:color="auto" w:fill="auto"/>
            <w:noWrap/>
            <w:vAlign w:val="bottom"/>
            <w:hideMark/>
          </w:tcPr>
          <w:p w14:paraId="70AF1AF2"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975" w:type="dxa"/>
            <w:gridSpan w:val="2"/>
            <w:tcBorders>
              <w:top w:val="nil"/>
              <w:left w:val="nil"/>
              <w:bottom w:val="nil"/>
              <w:right w:val="single" w:sz="4" w:space="0" w:color="auto"/>
            </w:tcBorders>
            <w:shd w:val="clear" w:color="auto" w:fill="auto"/>
            <w:noWrap/>
            <w:vAlign w:val="bottom"/>
            <w:hideMark/>
          </w:tcPr>
          <w:p w14:paraId="08A9BAEA"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495,138 </w:t>
            </w:r>
          </w:p>
        </w:tc>
      </w:tr>
      <w:tr w:rsidR="00971A7A" w:rsidRPr="00971A7A" w14:paraId="2C676542"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7688094C"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4260-Vehicles</w:t>
            </w:r>
          </w:p>
        </w:tc>
        <w:tc>
          <w:tcPr>
            <w:tcW w:w="1016" w:type="dxa"/>
            <w:gridSpan w:val="2"/>
            <w:tcBorders>
              <w:top w:val="nil"/>
              <w:left w:val="nil"/>
              <w:bottom w:val="nil"/>
              <w:right w:val="nil"/>
            </w:tcBorders>
            <w:shd w:val="clear" w:color="auto" w:fill="auto"/>
            <w:noWrap/>
            <w:vAlign w:val="bottom"/>
            <w:hideMark/>
          </w:tcPr>
          <w:p w14:paraId="5BD9B134"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p>
        </w:tc>
        <w:tc>
          <w:tcPr>
            <w:tcW w:w="1232" w:type="dxa"/>
            <w:gridSpan w:val="2"/>
            <w:tcBorders>
              <w:top w:val="nil"/>
              <w:left w:val="nil"/>
              <w:bottom w:val="nil"/>
              <w:right w:val="nil"/>
            </w:tcBorders>
            <w:shd w:val="clear" w:color="auto" w:fill="auto"/>
            <w:noWrap/>
            <w:vAlign w:val="bottom"/>
            <w:hideMark/>
          </w:tcPr>
          <w:p w14:paraId="496FF6D3"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43" w:type="dxa"/>
            <w:gridSpan w:val="3"/>
            <w:tcBorders>
              <w:top w:val="nil"/>
              <w:left w:val="nil"/>
              <w:bottom w:val="nil"/>
              <w:right w:val="nil"/>
            </w:tcBorders>
            <w:shd w:val="clear" w:color="auto" w:fill="auto"/>
            <w:noWrap/>
            <w:vAlign w:val="bottom"/>
            <w:hideMark/>
          </w:tcPr>
          <w:p w14:paraId="675CDBCF"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987" w:type="dxa"/>
            <w:gridSpan w:val="4"/>
            <w:tcBorders>
              <w:top w:val="nil"/>
              <w:left w:val="nil"/>
              <w:bottom w:val="nil"/>
              <w:right w:val="nil"/>
            </w:tcBorders>
            <w:shd w:val="clear" w:color="auto" w:fill="auto"/>
            <w:noWrap/>
            <w:vAlign w:val="bottom"/>
            <w:hideMark/>
          </w:tcPr>
          <w:p w14:paraId="70698843"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1B9D5A0B"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0.8</w:t>
            </w:r>
          </w:p>
        </w:tc>
        <w:tc>
          <w:tcPr>
            <w:tcW w:w="1008" w:type="dxa"/>
            <w:gridSpan w:val="5"/>
            <w:tcBorders>
              <w:top w:val="nil"/>
              <w:left w:val="nil"/>
              <w:bottom w:val="nil"/>
              <w:right w:val="nil"/>
            </w:tcBorders>
            <w:shd w:val="clear" w:color="auto" w:fill="auto"/>
            <w:noWrap/>
            <w:vAlign w:val="bottom"/>
            <w:hideMark/>
          </w:tcPr>
          <w:p w14:paraId="7E941A74"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115,803 </w:t>
            </w:r>
          </w:p>
        </w:tc>
        <w:tc>
          <w:tcPr>
            <w:tcW w:w="665" w:type="dxa"/>
            <w:gridSpan w:val="3"/>
            <w:tcBorders>
              <w:top w:val="nil"/>
              <w:left w:val="nil"/>
              <w:bottom w:val="nil"/>
              <w:right w:val="nil"/>
            </w:tcBorders>
            <w:shd w:val="clear" w:color="auto" w:fill="auto"/>
            <w:noWrap/>
            <w:vAlign w:val="bottom"/>
            <w:hideMark/>
          </w:tcPr>
          <w:p w14:paraId="12C7D8C4"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0.8</w:t>
            </w:r>
          </w:p>
        </w:tc>
        <w:tc>
          <w:tcPr>
            <w:tcW w:w="975" w:type="dxa"/>
            <w:gridSpan w:val="2"/>
            <w:tcBorders>
              <w:top w:val="nil"/>
              <w:left w:val="nil"/>
              <w:bottom w:val="nil"/>
              <w:right w:val="single" w:sz="4" w:space="0" w:color="auto"/>
            </w:tcBorders>
            <w:shd w:val="clear" w:color="auto" w:fill="auto"/>
            <w:noWrap/>
            <w:vAlign w:val="bottom"/>
            <w:hideMark/>
          </w:tcPr>
          <w:p w14:paraId="17D39E2A"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115,803 </w:t>
            </w:r>
          </w:p>
        </w:tc>
      </w:tr>
      <w:tr w:rsidR="00971A7A" w:rsidRPr="00971A7A" w14:paraId="7DB73EBA"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15A47111" w14:textId="092F600F"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4270-Central Instrument Shop</w:t>
            </w:r>
          </w:p>
        </w:tc>
        <w:tc>
          <w:tcPr>
            <w:tcW w:w="1016" w:type="dxa"/>
            <w:gridSpan w:val="2"/>
            <w:tcBorders>
              <w:top w:val="nil"/>
              <w:left w:val="nil"/>
              <w:bottom w:val="single" w:sz="4" w:space="0" w:color="auto"/>
              <w:right w:val="nil"/>
            </w:tcBorders>
            <w:shd w:val="clear" w:color="auto" w:fill="auto"/>
            <w:noWrap/>
            <w:vAlign w:val="bottom"/>
            <w:hideMark/>
          </w:tcPr>
          <w:p w14:paraId="609255B7"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1.67</w:t>
            </w:r>
          </w:p>
        </w:tc>
        <w:tc>
          <w:tcPr>
            <w:tcW w:w="1232" w:type="dxa"/>
            <w:gridSpan w:val="2"/>
            <w:tcBorders>
              <w:top w:val="nil"/>
              <w:left w:val="nil"/>
              <w:bottom w:val="single" w:sz="4" w:space="0" w:color="auto"/>
              <w:right w:val="nil"/>
            </w:tcBorders>
            <w:shd w:val="clear" w:color="auto" w:fill="auto"/>
            <w:noWrap/>
            <w:vAlign w:val="bottom"/>
            <w:hideMark/>
          </w:tcPr>
          <w:p w14:paraId="68EF44B0"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187,943 </w:t>
            </w:r>
          </w:p>
        </w:tc>
        <w:tc>
          <w:tcPr>
            <w:tcW w:w="643" w:type="dxa"/>
            <w:gridSpan w:val="3"/>
            <w:tcBorders>
              <w:top w:val="nil"/>
              <w:left w:val="nil"/>
              <w:bottom w:val="single" w:sz="4" w:space="0" w:color="auto"/>
              <w:right w:val="nil"/>
            </w:tcBorders>
            <w:shd w:val="clear" w:color="auto" w:fill="auto"/>
            <w:noWrap/>
            <w:vAlign w:val="bottom"/>
            <w:hideMark/>
          </w:tcPr>
          <w:p w14:paraId="3E2B13C4"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15A21B66"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0701DFB1"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single" w:sz="4" w:space="0" w:color="auto"/>
              <w:right w:val="nil"/>
            </w:tcBorders>
            <w:shd w:val="clear" w:color="auto" w:fill="auto"/>
            <w:noWrap/>
            <w:vAlign w:val="bottom"/>
            <w:hideMark/>
          </w:tcPr>
          <w:p w14:paraId="6DEF2F49"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single" w:sz="4" w:space="0" w:color="auto"/>
              <w:right w:val="nil"/>
            </w:tcBorders>
            <w:shd w:val="clear" w:color="auto" w:fill="auto"/>
            <w:noWrap/>
            <w:vAlign w:val="bottom"/>
            <w:hideMark/>
          </w:tcPr>
          <w:p w14:paraId="0BF6073F"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1.67</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7880BBF3"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187,943 </w:t>
            </w:r>
          </w:p>
        </w:tc>
      </w:tr>
      <w:tr w:rsidR="00971A7A" w:rsidRPr="00971A7A" w14:paraId="0557CBC5"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79EE63AC"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4300-Auxiliaries</w:t>
            </w:r>
          </w:p>
        </w:tc>
        <w:tc>
          <w:tcPr>
            <w:tcW w:w="1016" w:type="dxa"/>
            <w:gridSpan w:val="2"/>
            <w:tcBorders>
              <w:top w:val="single" w:sz="4" w:space="0" w:color="auto"/>
              <w:left w:val="nil"/>
              <w:bottom w:val="nil"/>
              <w:right w:val="nil"/>
            </w:tcBorders>
            <w:shd w:val="clear" w:color="auto" w:fill="auto"/>
            <w:noWrap/>
            <w:vAlign w:val="bottom"/>
            <w:hideMark/>
          </w:tcPr>
          <w:p w14:paraId="4972B24C"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12.15</w:t>
            </w:r>
          </w:p>
        </w:tc>
        <w:tc>
          <w:tcPr>
            <w:tcW w:w="1232" w:type="dxa"/>
            <w:gridSpan w:val="2"/>
            <w:tcBorders>
              <w:top w:val="single" w:sz="4" w:space="0" w:color="auto"/>
              <w:left w:val="nil"/>
              <w:bottom w:val="nil"/>
              <w:right w:val="nil"/>
            </w:tcBorders>
            <w:shd w:val="clear" w:color="auto" w:fill="auto"/>
            <w:noWrap/>
            <w:vAlign w:val="bottom"/>
            <w:hideMark/>
          </w:tcPr>
          <w:p w14:paraId="502EEE57"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1,008,323 </w:t>
            </w:r>
          </w:p>
        </w:tc>
        <w:tc>
          <w:tcPr>
            <w:tcW w:w="643" w:type="dxa"/>
            <w:gridSpan w:val="3"/>
            <w:tcBorders>
              <w:top w:val="single" w:sz="4" w:space="0" w:color="auto"/>
              <w:left w:val="nil"/>
              <w:bottom w:val="nil"/>
              <w:right w:val="nil"/>
            </w:tcBorders>
            <w:shd w:val="clear" w:color="auto" w:fill="auto"/>
            <w:noWrap/>
            <w:vAlign w:val="bottom"/>
            <w:hideMark/>
          </w:tcPr>
          <w:p w14:paraId="337A6C8D"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7AA33B1B"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631F6B80"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single" w:sz="4" w:space="0" w:color="auto"/>
              <w:left w:val="nil"/>
              <w:bottom w:val="nil"/>
              <w:right w:val="nil"/>
            </w:tcBorders>
            <w:shd w:val="clear" w:color="auto" w:fill="auto"/>
            <w:noWrap/>
            <w:vAlign w:val="bottom"/>
            <w:hideMark/>
          </w:tcPr>
          <w:p w14:paraId="476BEE88"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nil"/>
              <w:right w:val="nil"/>
            </w:tcBorders>
            <w:shd w:val="clear" w:color="auto" w:fill="auto"/>
            <w:noWrap/>
            <w:vAlign w:val="bottom"/>
            <w:hideMark/>
          </w:tcPr>
          <w:p w14:paraId="12AAB9DD"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12.15</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3AA920B0"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1,008,323 </w:t>
            </w:r>
          </w:p>
        </w:tc>
      </w:tr>
      <w:tr w:rsidR="00971A7A" w:rsidRPr="00971A7A" w14:paraId="64A21ECA"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1430F127"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4310-Visitor Centers</w:t>
            </w:r>
          </w:p>
        </w:tc>
        <w:tc>
          <w:tcPr>
            <w:tcW w:w="1016" w:type="dxa"/>
            <w:gridSpan w:val="2"/>
            <w:tcBorders>
              <w:top w:val="nil"/>
              <w:left w:val="nil"/>
              <w:bottom w:val="nil"/>
              <w:right w:val="nil"/>
            </w:tcBorders>
            <w:shd w:val="clear" w:color="auto" w:fill="auto"/>
            <w:noWrap/>
            <w:vAlign w:val="bottom"/>
            <w:hideMark/>
          </w:tcPr>
          <w:p w14:paraId="34A01B91"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1.15</w:t>
            </w:r>
          </w:p>
        </w:tc>
        <w:tc>
          <w:tcPr>
            <w:tcW w:w="1232" w:type="dxa"/>
            <w:gridSpan w:val="2"/>
            <w:tcBorders>
              <w:top w:val="nil"/>
              <w:left w:val="nil"/>
              <w:bottom w:val="nil"/>
              <w:right w:val="nil"/>
            </w:tcBorders>
            <w:shd w:val="clear" w:color="auto" w:fill="auto"/>
            <w:noWrap/>
            <w:vAlign w:val="bottom"/>
            <w:hideMark/>
          </w:tcPr>
          <w:p w14:paraId="7D4E5E91"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65,988 </w:t>
            </w:r>
          </w:p>
        </w:tc>
        <w:tc>
          <w:tcPr>
            <w:tcW w:w="643" w:type="dxa"/>
            <w:gridSpan w:val="3"/>
            <w:tcBorders>
              <w:top w:val="nil"/>
              <w:left w:val="nil"/>
              <w:bottom w:val="nil"/>
              <w:right w:val="nil"/>
            </w:tcBorders>
            <w:shd w:val="clear" w:color="auto" w:fill="auto"/>
            <w:noWrap/>
            <w:vAlign w:val="bottom"/>
            <w:hideMark/>
          </w:tcPr>
          <w:p w14:paraId="428ED929"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7D2DD6BA"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62939FCB"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nil"/>
              <w:right w:val="nil"/>
            </w:tcBorders>
            <w:shd w:val="clear" w:color="auto" w:fill="auto"/>
            <w:noWrap/>
            <w:vAlign w:val="bottom"/>
            <w:hideMark/>
          </w:tcPr>
          <w:p w14:paraId="54662342"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nil"/>
              <w:right w:val="nil"/>
            </w:tcBorders>
            <w:shd w:val="clear" w:color="auto" w:fill="auto"/>
            <w:noWrap/>
            <w:vAlign w:val="bottom"/>
            <w:hideMark/>
          </w:tcPr>
          <w:p w14:paraId="6D63861F"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1.15</w:t>
            </w:r>
          </w:p>
        </w:tc>
        <w:tc>
          <w:tcPr>
            <w:tcW w:w="975" w:type="dxa"/>
            <w:gridSpan w:val="2"/>
            <w:tcBorders>
              <w:top w:val="nil"/>
              <w:left w:val="nil"/>
              <w:bottom w:val="nil"/>
              <w:right w:val="single" w:sz="4" w:space="0" w:color="auto"/>
            </w:tcBorders>
            <w:shd w:val="clear" w:color="auto" w:fill="auto"/>
            <w:noWrap/>
            <w:vAlign w:val="bottom"/>
            <w:hideMark/>
          </w:tcPr>
          <w:p w14:paraId="1E1D49BA"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65,988 </w:t>
            </w:r>
          </w:p>
        </w:tc>
      </w:tr>
      <w:tr w:rsidR="00971A7A" w:rsidRPr="00971A7A" w14:paraId="685350C4" w14:textId="77777777" w:rsidTr="009924E1">
        <w:trPr>
          <w:gridAfter w:val="1"/>
          <w:wAfter w:w="130" w:type="dxa"/>
          <w:trHeight w:val="300"/>
        </w:trPr>
        <w:tc>
          <w:tcPr>
            <w:tcW w:w="2520" w:type="dxa"/>
            <w:tcBorders>
              <w:top w:val="nil"/>
              <w:left w:val="single" w:sz="4" w:space="0" w:color="auto"/>
              <w:right w:val="nil"/>
            </w:tcBorders>
            <w:shd w:val="clear" w:color="auto" w:fill="auto"/>
            <w:noWrap/>
            <w:vAlign w:val="bottom"/>
            <w:hideMark/>
          </w:tcPr>
          <w:p w14:paraId="3A840A64"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4320-Housing</w:t>
            </w:r>
          </w:p>
        </w:tc>
        <w:tc>
          <w:tcPr>
            <w:tcW w:w="1016" w:type="dxa"/>
            <w:gridSpan w:val="2"/>
            <w:tcBorders>
              <w:top w:val="nil"/>
              <w:left w:val="nil"/>
              <w:right w:val="nil"/>
            </w:tcBorders>
            <w:shd w:val="clear" w:color="auto" w:fill="auto"/>
            <w:noWrap/>
            <w:vAlign w:val="bottom"/>
            <w:hideMark/>
          </w:tcPr>
          <w:p w14:paraId="768F8474"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1.43</w:t>
            </w:r>
          </w:p>
        </w:tc>
        <w:tc>
          <w:tcPr>
            <w:tcW w:w="1232" w:type="dxa"/>
            <w:gridSpan w:val="2"/>
            <w:tcBorders>
              <w:top w:val="nil"/>
              <w:left w:val="nil"/>
              <w:right w:val="nil"/>
            </w:tcBorders>
            <w:shd w:val="clear" w:color="auto" w:fill="auto"/>
            <w:noWrap/>
            <w:vAlign w:val="bottom"/>
            <w:hideMark/>
          </w:tcPr>
          <w:p w14:paraId="7AD94615"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142,012 </w:t>
            </w:r>
          </w:p>
        </w:tc>
        <w:tc>
          <w:tcPr>
            <w:tcW w:w="643" w:type="dxa"/>
            <w:gridSpan w:val="3"/>
            <w:tcBorders>
              <w:top w:val="nil"/>
              <w:left w:val="nil"/>
              <w:right w:val="nil"/>
            </w:tcBorders>
            <w:shd w:val="clear" w:color="auto" w:fill="auto"/>
            <w:noWrap/>
            <w:vAlign w:val="bottom"/>
            <w:hideMark/>
          </w:tcPr>
          <w:p w14:paraId="7C627BDA"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right w:val="nil"/>
            </w:tcBorders>
            <w:shd w:val="clear" w:color="auto" w:fill="auto"/>
            <w:noWrap/>
            <w:vAlign w:val="bottom"/>
            <w:hideMark/>
          </w:tcPr>
          <w:p w14:paraId="69364D82"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right w:val="nil"/>
            </w:tcBorders>
            <w:shd w:val="clear" w:color="auto" w:fill="auto"/>
            <w:noWrap/>
            <w:vAlign w:val="bottom"/>
            <w:hideMark/>
          </w:tcPr>
          <w:p w14:paraId="6348630B"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right w:val="nil"/>
            </w:tcBorders>
            <w:shd w:val="clear" w:color="auto" w:fill="auto"/>
            <w:noWrap/>
            <w:vAlign w:val="bottom"/>
            <w:hideMark/>
          </w:tcPr>
          <w:p w14:paraId="6B0C8FA2"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right w:val="nil"/>
            </w:tcBorders>
            <w:shd w:val="clear" w:color="auto" w:fill="auto"/>
            <w:noWrap/>
            <w:vAlign w:val="bottom"/>
            <w:hideMark/>
          </w:tcPr>
          <w:p w14:paraId="5BEF369B"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1.43</w:t>
            </w:r>
          </w:p>
        </w:tc>
        <w:tc>
          <w:tcPr>
            <w:tcW w:w="975" w:type="dxa"/>
            <w:gridSpan w:val="2"/>
            <w:tcBorders>
              <w:top w:val="nil"/>
              <w:left w:val="nil"/>
              <w:right w:val="single" w:sz="4" w:space="0" w:color="auto"/>
            </w:tcBorders>
            <w:shd w:val="clear" w:color="auto" w:fill="auto"/>
            <w:noWrap/>
            <w:vAlign w:val="bottom"/>
            <w:hideMark/>
          </w:tcPr>
          <w:p w14:paraId="030EC2C9"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142,012 </w:t>
            </w:r>
          </w:p>
        </w:tc>
      </w:tr>
      <w:tr w:rsidR="00971A7A" w:rsidRPr="00971A7A" w14:paraId="61F4ED69" w14:textId="77777777" w:rsidTr="009924E1">
        <w:trPr>
          <w:gridAfter w:val="1"/>
          <w:wAfter w:w="130" w:type="dxa"/>
          <w:trHeight w:val="300"/>
        </w:trPr>
        <w:tc>
          <w:tcPr>
            <w:tcW w:w="2520" w:type="dxa"/>
            <w:tcBorders>
              <w:top w:val="nil"/>
              <w:left w:val="single" w:sz="4" w:space="0" w:color="auto"/>
              <w:right w:val="nil"/>
            </w:tcBorders>
            <w:shd w:val="clear" w:color="auto" w:fill="auto"/>
            <w:noWrap/>
            <w:vAlign w:val="bottom"/>
            <w:hideMark/>
          </w:tcPr>
          <w:p w14:paraId="5F4E4E70"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4330-Food Handling</w:t>
            </w:r>
          </w:p>
        </w:tc>
        <w:tc>
          <w:tcPr>
            <w:tcW w:w="1016" w:type="dxa"/>
            <w:gridSpan w:val="2"/>
            <w:tcBorders>
              <w:top w:val="nil"/>
              <w:left w:val="nil"/>
              <w:right w:val="nil"/>
            </w:tcBorders>
            <w:shd w:val="clear" w:color="auto" w:fill="auto"/>
            <w:noWrap/>
            <w:vAlign w:val="bottom"/>
            <w:hideMark/>
          </w:tcPr>
          <w:p w14:paraId="5A240A5C"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7.22</w:t>
            </w:r>
          </w:p>
        </w:tc>
        <w:tc>
          <w:tcPr>
            <w:tcW w:w="1232" w:type="dxa"/>
            <w:gridSpan w:val="2"/>
            <w:tcBorders>
              <w:top w:val="nil"/>
              <w:left w:val="nil"/>
              <w:right w:val="nil"/>
            </w:tcBorders>
            <w:shd w:val="clear" w:color="auto" w:fill="auto"/>
            <w:noWrap/>
            <w:vAlign w:val="bottom"/>
            <w:hideMark/>
          </w:tcPr>
          <w:p w14:paraId="33AE45F0"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514,122 </w:t>
            </w:r>
          </w:p>
        </w:tc>
        <w:tc>
          <w:tcPr>
            <w:tcW w:w="643" w:type="dxa"/>
            <w:gridSpan w:val="3"/>
            <w:tcBorders>
              <w:top w:val="nil"/>
              <w:left w:val="nil"/>
              <w:right w:val="nil"/>
            </w:tcBorders>
            <w:shd w:val="clear" w:color="auto" w:fill="auto"/>
            <w:noWrap/>
            <w:vAlign w:val="bottom"/>
            <w:hideMark/>
          </w:tcPr>
          <w:p w14:paraId="3FBDCBD9"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right w:val="nil"/>
            </w:tcBorders>
            <w:shd w:val="clear" w:color="auto" w:fill="auto"/>
            <w:noWrap/>
            <w:vAlign w:val="bottom"/>
            <w:hideMark/>
          </w:tcPr>
          <w:p w14:paraId="6F421E7E"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right w:val="nil"/>
            </w:tcBorders>
            <w:shd w:val="clear" w:color="auto" w:fill="auto"/>
            <w:noWrap/>
            <w:vAlign w:val="bottom"/>
            <w:hideMark/>
          </w:tcPr>
          <w:p w14:paraId="5698BFBC"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right w:val="nil"/>
            </w:tcBorders>
            <w:shd w:val="clear" w:color="auto" w:fill="auto"/>
            <w:noWrap/>
            <w:vAlign w:val="bottom"/>
            <w:hideMark/>
          </w:tcPr>
          <w:p w14:paraId="3D0061CB"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right w:val="nil"/>
            </w:tcBorders>
            <w:shd w:val="clear" w:color="auto" w:fill="auto"/>
            <w:noWrap/>
            <w:vAlign w:val="bottom"/>
            <w:hideMark/>
          </w:tcPr>
          <w:p w14:paraId="52B4820F"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7.22</w:t>
            </w:r>
          </w:p>
        </w:tc>
        <w:tc>
          <w:tcPr>
            <w:tcW w:w="975" w:type="dxa"/>
            <w:gridSpan w:val="2"/>
            <w:tcBorders>
              <w:top w:val="nil"/>
              <w:left w:val="nil"/>
              <w:right w:val="single" w:sz="4" w:space="0" w:color="auto"/>
            </w:tcBorders>
            <w:shd w:val="clear" w:color="auto" w:fill="auto"/>
            <w:noWrap/>
            <w:vAlign w:val="bottom"/>
            <w:hideMark/>
          </w:tcPr>
          <w:p w14:paraId="71EE6711"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514,122 </w:t>
            </w:r>
          </w:p>
        </w:tc>
      </w:tr>
      <w:tr w:rsidR="00971A7A" w:rsidRPr="00971A7A" w14:paraId="3A310720" w14:textId="77777777" w:rsidTr="009924E1">
        <w:trPr>
          <w:gridAfter w:val="1"/>
          <w:wAfter w:w="130" w:type="dxa"/>
          <w:trHeight w:val="300"/>
        </w:trPr>
        <w:tc>
          <w:tcPr>
            <w:tcW w:w="2520" w:type="dxa"/>
            <w:tcBorders>
              <w:left w:val="single" w:sz="4" w:space="0" w:color="auto"/>
              <w:right w:val="nil"/>
            </w:tcBorders>
            <w:shd w:val="clear" w:color="auto" w:fill="auto"/>
            <w:noWrap/>
            <w:vAlign w:val="bottom"/>
            <w:hideMark/>
          </w:tcPr>
          <w:p w14:paraId="0C44C744"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4340-Gift Shops</w:t>
            </w:r>
          </w:p>
        </w:tc>
        <w:tc>
          <w:tcPr>
            <w:tcW w:w="1016" w:type="dxa"/>
            <w:gridSpan w:val="2"/>
            <w:tcBorders>
              <w:left w:val="nil"/>
              <w:right w:val="nil"/>
            </w:tcBorders>
            <w:shd w:val="clear" w:color="auto" w:fill="auto"/>
            <w:noWrap/>
            <w:vAlign w:val="bottom"/>
            <w:hideMark/>
          </w:tcPr>
          <w:p w14:paraId="459D2151"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1.3</w:t>
            </w:r>
          </w:p>
        </w:tc>
        <w:tc>
          <w:tcPr>
            <w:tcW w:w="1232" w:type="dxa"/>
            <w:gridSpan w:val="2"/>
            <w:tcBorders>
              <w:left w:val="nil"/>
              <w:right w:val="nil"/>
            </w:tcBorders>
            <w:shd w:val="clear" w:color="auto" w:fill="auto"/>
            <w:noWrap/>
            <w:vAlign w:val="bottom"/>
            <w:hideMark/>
          </w:tcPr>
          <w:p w14:paraId="3814014F"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207,303 </w:t>
            </w:r>
          </w:p>
        </w:tc>
        <w:tc>
          <w:tcPr>
            <w:tcW w:w="643" w:type="dxa"/>
            <w:gridSpan w:val="3"/>
            <w:tcBorders>
              <w:left w:val="nil"/>
              <w:right w:val="nil"/>
            </w:tcBorders>
            <w:shd w:val="clear" w:color="auto" w:fill="auto"/>
            <w:noWrap/>
            <w:vAlign w:val="bottom"/>
            <w:hideMark/>
          </w:tcPr>
          <w:p w14:paraId="72830837"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left w:val="nil"/>
              <w:right w:val="nil"/>
            </w:tcBorders>
            <w:shd w:val="clear" w:color="auto" w:fill="auto"/>
            <w:noWrap/>
            <w:vAlign w:val="bottom"/>
            <w:hideMark/>
          </w:tcPr>
          <w:p w14:paraId="27DF21FD"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left w:val="nil"/>
              <w:right w:val="nil"/>
            </w:tcBorders>
            <w:shd w:val="clear" w:color="auto" w:fill="auto"/>
            <w:noWrap/>
            <w:vAlign w:val="bottom"/>
            <w:hideMark/>
          </w:tcPr>
          <w:p w14:paraId="3627B210"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left w:val="nil"/>
              <w:right w:val="nil"/>
            </w:tcBorders>
            <w:shd w:val="clear" w:color="auto" w:fill="auto"/>
            <w:noWrap/>
            <w:vAlign w:val="bottom"/>
            <w:hideMark/>
          </w:tcPr>
          <w:p w14:paraId="2BE6F0C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left w:val="nil"/>
              <w:right w:val="nil"/>
            </w:tcBorders>
            <w:shd w:val="clear" w:color="auto" w:fill="auto"/>
            <w:noWrap/>
            <w:vAlign w:val="bottom"/>
            <w:hideMark/>
          </w:tcPr>
          <w:p w14:paraId="55AF910E"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1.3</w:t>
            </w:r>
          </w:p>
        </w:tc>
        <w:tc>
          <w:tcPr>
            <w:tcW w:w="975" w:type="dxa"/>
            <w:gridSpan w:val="2"/>
            <w:tcBorders>
              <w:left w:val="nil"/>
              <w:right w:val="single" w:sz="4" w:space="0" w:color="auto"/>
            </w:tcBorders>
            <w:shd w:val="clear" w:color="auto" w:fill="auto"/>
            <w:noWrap/>
            <w:vAlign w:val="bottom"/>
            <w:hideMark/>
          </w:tcPr>
          <w:p w14:paraId="4B5C979C"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207,303 </w:t>
            </w:r>
          </w:p>
        </w:tc>
      </w:tr>
      <w:tr w:rsidR="009924E1" w:rsidRPr="00971A7A" w14:paraId="1267F8EE" w14:textId="77777777" w:rsidTr="009924E1">
        <w:trPr>
          <w:gridAfter w:val="1"/>
          <w:wAfter w:w="130" w:type="dxa"/>
          <w:trHeight w:val="300"/>
        </w:trPr>
        <w:tc>
          <w:tcPr>
            <w:tcW w:w="2520" w:type="dxa"/>
            <w:tcBorders>
              <w:left w:val="single" w:sz="4" w:space="0" w:color="auto"/>
              <w:bottom w:val="single" w:sz="4" w:space="0" w:color="auto"/>
              <w:right w:val="nil"/>
            </w:tcBorders>
            <w:shd w:val="clear" w:color="auto" w:fill="auto"/>
            <w:noWrap/>
            <w:vAlign w:val="bottom"/>
          </w:tcPr>
          <w:p w14:paraId="173A5E14" w14:textId="179C8C05" w:rsidR="009924E1" w:rsidRPr="00971A7A" w:rsidRDefault="009924E1" w:rsidP="009924E1">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4350-Management</w:t>
            </w:r>
          </w:p>
        </w:tc>
        <w:tc>
          <w:tcPr>
            <w:tcW w:w="1016" w:type="dxa"/>
            <w:gridSpan w:val="2"/>
            <w:tcBorders>
              <w:left w:val="nil"/>
              <w:bottom w:val="single" w:sz="4" w:space="0" w:color="auto"/>
              <w:right w:val="nil"/>
            </w:tcBorders>
            <w:shd w:val="clear" w:color="auto" w:fill="auto"/>
            <w:noWrap/>
            <w:vAlign w:val="bottom"/>
          </w:tcPr>
          <w:p w14:paraId="3537DD9D" w14:textId="6BB44A58" w:rsidR="009924E1" w:rsidRPr="00971A7A" w:rsidRDefault="009924E1" w:rsidP="009924E1">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1.05</w:t>
            </w:r>
          </w:p>
        </w:tc>
        <w:tc>
          <w:tcPr>
            <w:tcW w:w="1232" w:type="dxa"/>
            <w:gridSpan w:val="2"/>
            <w:tcBorders>
              <w:left w:val="nil"/>
              <w:bottom w:val="single" w:sz="4" w:space="0" w:color="auto"/>
              <w:right w:val="nil"/>
            </w:tcBorders>
            <w:shd w:val="clear" w:color="auto" w:fill="auto"/>
            <w:noWrap/>
            <w:vAlign w:val="bottom"/>
          </w:tcPr>
          <w:p w14:paraId="3B3D9A4A" w14:textId="7E950A73" w:rsidR="009924E1" w:rsidRPr="00971A7A" w:rsidRDefault="009924E1" w:rsidP="009924E1">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78,897 </w:t>
            </w:r>
          </w:p>
        </w:tc>
        <w:tc>
          <w:tcPr>
            <w:tcW w:w="643" w:type="dxa"/>
            <w:gridSpan w:val="3"/>
            <w:tcBorders>
              <w:left w:val="nil"/>
              <w:bottom w:val="single" w:sz="4" w:space="0" w:color="auto"/>
              <w:right w:val="nil"/>
            </w:tcBorders>
            <w:shd w:val="clear" w:color="auto" w:fill="auto"/>
            <w:noWrap/>
            <w:vAlign w:val="bottom"/>
          </w:tcPr>
          <w:p w14:paraId="4554E2F2" w14:textId="77777777" w:rsidR="009924E1" w:rsidRPr="00971A7A" w:rsidRDefault="009924E1" w:rsidP="009924E1">
            <w:pPr>
              <w:spacing w:after="0" w:line="240" w:lineRule="auto"/>
              <w:jc w:val="right"/>
              <w:rPr>
                <w:rFonts w:ascii="Calibri" w:eastAsia="Times New Roman" w:hAnsi="Calibri" w:cs="Calibri"/>
                <w:color w:val="000000"/>
                <w:sz w:val="16"/>
                <w:szCs w:val="16"/>
              </w:rPr>
            </w:pPr>
          </w:p>
        </w:tc>
        <w:tc>
          <w:tcPr>
            <w:tcW w:w="987" w:type="dxa"/>
            <w:gridSpan w:val="4"/>
            <w:tcBorders>
              <w:left w:val="nil"/>
              <w:bottom w:val="single" w:sz="4" w:space="0" w:color="auto"/>
              <w:right w:val="nil"/>
            </w:tcBorders>
            <w:shd w:val="clear" w:color="auto" w:fill="auto"/>
            <w:noWrap/>
            <w:vAlign w:val="bottom"/>
          </w:tcPr>
          <w:p w14:paraId="6493447D" w14:textId="77777777" w:rsidR="009924E1" w:rsidRPr="00971A7A" w:rsidRDefault="009924E1" w:rsidP="009924E1">
            <w:pPr>
              <w:spacing w:after="0" w:line="240" w:lineRule="auto"/>
              <w:jc w:val="left"/>
              <w:rPr>
                <w:rFonts w:ascii="Times New Roman" w:eastAsia="Times New Roman" w:hAnsi="Times New Roman" w:cs="Times New Roman"/>
                <w:sz w:val="16"/>
                <w:szCs w:val="16"/>
              </w:rPr>
            </w:pPr>
          </w:p>
        </w:tc>
        <w:tc>
          <w:tcPr>
            <w:tcW w:w="489" w:type="dxa"/>
            <w:gridSpan w:val="2"/>
            <w:tcBorders>
              <w:left w:val="nil"/>
              <w:bottom w:val="single" w:sz="4" w:space="0" w:color="auto"/>
              <w:right w:val="nil"/>
            </w:tcBorders>
            <w:shd w:val="clear" w:color="auto" w:fill="auto"/>
            <w:noWrap/>
            <w:vAlign w:val="bottom"/>
          </w:tcPr>
          <w:p w14:paraId="00B762CE" w14:textId="77777777" w:rsidR="009924E1" w:rsidRPr="00971A7A" w:rsidRDefault="009924E1" w:rsidP="009924E1">
            <w:pPr>
              <w:spacing w:after="0" w:line="240" w:lineRule="auto"/>
              <w:jc w:val="left"/>
              <w:rPr>
                <w:rFonts w:ascii="Times New Roman" w:eastAsia="Times New Roman" w:hAnsi="Times New Roman" w:cs="Times New Roman"/>
                <w:sz w:val="16"/>
                <w:szCs w:val="16"/>
              </w:rPr>
            </w:pPr>
          </w:p>
        </w:tc>
        <w:tc>
          <w:tcPr>
            <w:tcW w:w="1008" w:type="dxa"/>
            <w:gridSpan w:val="5"/>
            <w:tcBorders>
              <w:left w:val="nil"/>
              <w:bottom w:val="single" w:sz="4" w:space="0" w:color="auto"/>
              <w:right w:val="nil"/>
            </w:tcBorders>
            <w:shd w:val="clear" w:color="auto" w:fill="auto"/>
            <w:noWrap/>
            <w:vAlign w:val="bottom"/>
          </w:tcPr>
          <w:p w14:paraId="165621D3" w14:textId="77777777" w:rsidR="009924E1" w:rsidRPr="00971A7A" w:rsidRDefault="009924E1" w:rsidP="009924E1">
            <w:pPr>
              <w:spacing w:after="0" w:line="240" w:lineRule="auto"/>
              <w:jc w:val="left"/>
              <w:rPr>
                <w:rFonts w:ascii="Times New Roman" w:eastAsia="Times New Roman" w:hAnsi="Times New Roman" w:cs="Times New Roman"/>
                <w:sz w:val="16"/>
                <w:szCs w:val="16"/>
              </w:rPr>
            </w:pPr>
          </w:p>
        </w:tc>
        <w:tc>
          <w:tcPr>
            <w:tcW w:w="665" w:type="dxa"/>
            <w:gridSpan w:val="3"/>
            <w:tcBorders>
              <w:left w:val="nil"/>
              <w:bottom w:val="single" w:sz="4" w:space="0" w:color="auto"/>
              <w:right w:val="nil"/>
            </w:tcBorders>
            <w:shd w:val="clear" w:color="auto" w:fill="auto"/>
            <w:noWrap/>
            <w:vAlign w:val="bottom"/>
          </w:tcPr>
          <w:p w14:paraId="015C5CD8" w14:textId="36BEE0FA" w:rsidR="009924E1" w:rsidRPr="00971A7A" w:rsidRDefault="009924E1" w:rsidP="009924E1">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1.05</w:t>
            </w:r>
          </w:p>
        </w:tc>
        <w:tc>
          <w:tcPr>
            <w:tcW w:w="975" w:type="dxa"/>
            <w:gridSpan w:val="2"/>
            <w:tcBorders>
              <w:left w:val="nil"/>
              <w:bottom w:val="single" w:sz="4" w:space="0" w:color="auto"/>
              <w:right w:val="single" w:sz="4" w:space="0" w:color="auto"/>
            </w:tcBorders>
            <w:shd w:val="clear" w:color="auto" w:fill="auto"/>
            <w:noWrap/>
            <w:vAlign w:val="bottom"/>
          </w:tcPr>
          <w:p w14:paraId="4F628A7F" w14:textId="53C9B2C2" w:rsidR="009924E1" w:rsidRPr="00971A7A" w:rsidRDefault="009924E1" w:rsidP="009924E1">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78,897 </w:t>
            </w:r>
          </w:p>
        </w:tc>
      </w:tr>
      <w:tr w:rsidR="00382CF0" w:rsidRPr="00971A7A" w14:paraId="23FBAFC6" w14:textId="77777777" w:rsidTr="009924E1">
        <w:trPr>
          <w:gridAfter w:val="2"/>
          <w:wAfter w:w="231" w:type="dxa"/>
          <w:trHeight w:val="300"/>
        </w:trPr>
        <w:tc>
          <w:tcPr>
            <w:tcW w:w="2520" w:type="dxa"/>
            <w:tcBorders>
              <w:top w:val="single" w:sz="4" w:space="0" w:color="auto"/>
              <w:left w:val="single" w:sz="4" w:space="0" w:color="auto"/>
              <w:bottom w:val="nil"/>
              <w:right w:val="nil"/>
            </w:tcBorders>
            <w:shd w:val="clear" w:color="000000" w:fill="2F75B5"/>
            <w:noWrap/>
            <w:vAlign w:val="bottom"/>
            <w:hideMark/>
          </w:tcPr>
          <w:p w14:paraId="716C5C6F" w14:textId="77777777" w:rsidR="00382CF0" w:rsidRPr="00971A7A" w:rsidRDefault="00382CF0" w:rsidP="009A54E9">
            <w:pPr>
              <w:spacing w:after="0" w:line="240" w:lineRule="auto"/>
              <w:jc w:val="left"/>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lastRenderedPageBreak/>
              <w:t> </w:t>
            </w:r>
          </w:p>
        </w:tc>
        <w:tc>
          <w:tcPr>
            <w:tcW w:w="2069" w:type="dxa"/>
            <w:gridSpan w:val="3"/>
            <w:tcBorders>
              <w:top w:val="nil"/>
              <w:left w:val="nil"/>
              <w:bottom w:val="nil"/>
              <w:right w:val="nil"/>
            </w:tcBorders>
            <w:shd w:val="clear" w:color="000000" w:fill="2F75B5"/>
            <w:noWrap/>
            <w:vAlign w:val="bottom"/>
            <w:hideMark/>
          </w:tcPr>
          <w:p w14:paraId="6522FC04" w14:textId="77777777" w:rsidR="00382CF0" w:rsidRPr="00971A7A" w:rsidRDefault="00382CF0"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CSA-G</w:t>
            </w:r>
          </w:p>
        </w:tc>
        <w:tc>
          <w:tcPr>
            <w:tcW w:w="1269" w:type="dxa"/>
            <w:gridSpan w:val="5"/>
            <w:tcBorders>
              <w:top w:val="nil"/>
              <w:left w:val="nil"/>
              <w:bottom w:val="nil"/>
              <w:right w:val="nil"/>
            </w:tcBorders>
            <w:shd w:val="clear" w:color="000000" w:fill="2F75B5"/>
            <w:noWrap/>
            <w:vAlign w:val="bottom"/>
            <w:hideMark/>
          </w:tcPr>
          <w:p w14:paraId="0A2B22A9" w14:textId="77777777" w:rsidR="00382CF0" w:rsidRPr="00971A7A" w:rsidRDefault="00382CF0"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WFO</w:t>
            </w:r>
          </w:p>
        </w:tc>
        <w:tc>
          <w:tcPr>
            <w:tcW w:w="1416" w:type="dxa"/>
            <w:gridSpan w:val="6"/>
            <w:tcBorders>
              <w:top w:val="nil"/>
              <w:left w:val="nil"/>
              <w:bottom w:val="nil"/>
              <w:right w:val="nil"/>
            </w:tcBorders>
            <w:shd w:val="clear" w:color="000000" w:fill="2F75B5"/>
            <w:noWrap/>
            <w:vAlign w:val="bottom"/>
            <w:hideMark/>
          </w:tcPr>
          <w:p w14:paraId="33DD74E1" w14:textId="77777777" w:rsidR="00382CF0" w:rsidRPr="00971A7A" w:rsidRDefault="00382CF0"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GBO ICC</w:t>
            </w:r>
          </w:p>
        </w:tc>
        <w:tc>
          <w:tcPr>
            <w:tcW w:w="2160" w:type="dxa"/>
            <w:gridSpan w:val="8"/>
            <w:tcBorders>
              <w:top w:val="nil"/>
              <w:left w:val="nil"/>
              <w:bottom w:val="nil"/>
              <w:right w:val="nil"/>
            </w:tcBorders>
            <w:shd w:val="clear" w:color="000000" w:fill="2F75B5"/>
            <w:noWrap/>
            <w:vAlign w:val="bottom"/>
            <w:hideMark/>
          </w:tcPr>
          <w:p w14:paraId="51D99A27" w14:textId="77777777" w:rsidR="00382CF0" w:rsidRPr="00971A7A" w:rsidRDefault="00382CF0"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TOTAL</w:t>
            </w:r>
          </w:p>
        </w:tc>
      </w:tr>
      <w:tr w:rsidR="00382CF0" w:rsidRPr="00971A7A" w14:paraId="2A5DCE6D" w14:textId="77777777" w:rsidTr="009924E1">
        <w:trPr>
          <w:gridAfter w:val="2"/>
          <w:wAfter w:w="231" w:type="dxa"/>
          <w:trHeight w:val="300"/>
        </w:trPr>
        <w:tc>
          <w:tcPr>
            <w:tcW w:w="2520" w:type="dxa"/>
            <w:tcBorders>
              <w:top w:val="nil"/>
              <w:left w:val="nil"/>
              <w:bottom w:val="nil"/>
              <w:right w:val="nil"/>
            </w:tcBorders>
            <w:shd w:val="clear" w:color="000000" w:fill="2F75B5"/>
            <w:noWrap/>
            <w:vAlign w:val="bottom"/>
            <w:hideMark/>
          </w:tcPr>
          <w:p w14:paraId="0992FE19" w14:textId="77777777" w:rsidR="00382CF0" w:rsidRPr="00971A7A" w:rsidRDefault="00382CF0" w:rsidP="009A54E9">
            <w:pPr>
              <w:spacing w:after="0" w:line="240" w:lineRule="auto"/>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 </w:t>
            </w:r>
          </w:p>
        </w:tc>
        <w:tc>
          <w:tcPr>
            <w:tcW w:w="903" w:type="dxa"/>
            <w:tcBorders>
              <w:top w:val="single" w:sz="4" w:space="0" w:color="auto"/>
              <w:left w:val="single" w:sz="4" w:space="0" w:color="auto"/>
              <w:bottom w:val="single" w:sz="4" w:space="0" w:color="auto"/>
              <w:right w:val="single" w:sz="4" w:space="0" w:color="auto"/>
            </w:tcBorders>
            <w:shd w:val="clear" w:color="000000" w:fill="2F75B5"/>
            <w:noWrap/>
            <w:vAlign w:val="bottom"/>
            <w:hideMark/>
          </w:tcPr>
          <w:p w14:paraId="672ABD47" w14:textId="77777777" w:rsidR="00382CF0" w:rsidRPr="00971A7A" w:rsidRDefault="00382CF0"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FTE</w:t>
            </w:r>
          </w:p>
        </w:tc>
        <w:tc>
          <w:tcPr>
            <w:tcW w:w="1166" w:type="dxa"/>
            <w:gridSpan w:val="2"/>
            <w:tcBorders>
              <w:top w:val="single" w:sz="4" w:space="0" w:color="auto"/>
              <w:left w:val="nil"/>
              <w:bottom w:val="single" w:sz="4" w:space="0" w:color="auto"/>
              <w:right w:val="single" w:sz="4" w:space="0" w:color="auto"/>
            </w:tcBorders>
            <w:shd w:val="clear" w:color="000000" w:fill="2F75B5"/>
            <w:noWrap/>
            <w:vAlign w:val="bottom"/>
            <w:hideMark/>
          </w:tcPr>
          <w:p w14:paraId="6DAC2F79" w14:textId="77777777" w:rsidR="00382CF0" w:rsidRPr="00971A7A" w:rsidRDefault="00382CF0"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Expenses</w:t>
            </w:r>
          </w:p>
        </w:tc>
        <w:tc>
          <w:tcPr>
            <w:tcW w:w="443" w:type="dxa"/>
            <w:gridSpan w:val="2"/>
            <w:tcBorders>
              <w:top w:val="single" w:sz="4" w:space="0" w:color="auto"/>
              <w:left w:val="nil"/>
              <w:bottom w:val="single" w:sz="4" w:space="0" w:color="auto"/>
              <w:right w:val="single" w:sz="4" w:space="0" w:color="auto"/>
            </w:tcBorders>
            <w:shd w:val="clear" w:color="000000" w:fill="2F75B5"/>
            <w:noWrap/>
            <w:vAlign w:val="bottom"/>
            <w:hideMark/>
          </w:tcPr>
          <w:p w14:paraId="01A61744" w14:textId="77777777" w:rsidR="00382CF0" w:rsidRPr="00971A7A" w:rsidRDefault="00382CF0"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FTE</w:t>
            </w:r>
          </w:p>
        </w:tc>
        <w:tc>
          <w:tcPr>
            <w:tcW w:w="826" w:type="dxa"/>
            <w:gridSpan w:val="3"/>
            <w:tcBorders>
              <w:top w:val="single" w:sz="4" w:space="0" w:color="auto"/>
              <w:left w:val="nil"/>
              <w:bottom w:val="single" w:sz="4" w:space="0" w:color="auto"/>
              <w:right w:val="single" w:sz="4" w:space="0" w:color="auto"/>
            </w:tcBorders>
            <w:shd w:val="clear" w:color="000000" w:fill="2F75B5"/>
            <w:noWrap/>
            <w:vAlign w:val="bottom"/>
            <w:hideMark/>
          </w:tcPr>
          <w:p w14:paraId="5BD74B2B" w14:textId="77777777" w:rsidR="00382CF0" w:rsidRPr="00971A7A" w:rsidRDefault="00382CF0"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Expenses</w:t>
            </w:r>
          </w:p>
        </w:tc>
        <w:tc>
          <w:tcPr>
            <w:tcW w:w="447" w:type="dxa"/>
            <w:gridSpan w:val="2"/>
            <w:tcBorders>
              <w:top w:val="single" w:sz="4" w:space="0" w:color="auto"/>
              <w:left w:val="nil"/>
              <w:bottom w:val="single" w:sz="4" w:space="0" w:color="auto"/>
              <w:right w:val="single" w:sz="4" w:space="0" w:color="auto"/>
            </w:tcBorders>
            <w:shd w:val="clear" w:color="000000" w:fill="2F75B5"/>
            <w:noWrap/>
            <w:vAlign w:val="bottom"/>
            <w:hideMark/>
          </w:tcPr>
          <w:p w14:paraId="6D6B84B0" w14:textId="77777777" w:rsidR="00382CF0" w:rsidRPr="00971A7A" w:rsidRDefault="00382CF0"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FTE</w:t>
            </w:r>
          </w:p>
        </w:tc>
        <w:tc>
          <w:tcPr>
            <w:tcW w:w="969" w:type="dxa"/>
            <w:gridSpan w:val="4"/>
            <w:tcBorders>
              <w:top w:val="single" w:sz="4" w:space="0" w:color="auto"/>
              <w:left w:val="nil"/>
              <w:bottom w:val="single" w:sz="4" w:space="0" w:color="auto"/>
              <w:right w:val="single" w:sz="4" w:space="0" w:color="auto"/>
            </w:tcBorders>
            <w:shd w:val="clear" w:color="000000" w:fill="2F75B5"/>
            <w:noWrap/>
            <w:vAlign w:val="bottom"/>
            <w:hideMark/>
          </w:tcPr>
          <w:p w14:paraId="50CE57F6" w14:textId="77777777" w:rsidR="00382CF0" w:rsidRPr="00971A7A" w:rsidRDefault="00382CF0"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Expenses</w:t>
            </w:r>
          </w:p>
        </w:tc>
        <w:tc>
          <w:tcPr>
            <w:tcW w:w="503" w:type="dxa"/>
            <w:gridSpan w:val="3"/>
            <w:tcBorders>
              <w:top w:val="single" w:sz="4" w:space="0" w:color="auto"/>
              <w:left w:val="nil"/>
              <w:bottom w:val="single" w:sz="4" w:space="0" w:color="auto"/>
              <w:right w:val="single" w:sz="4" w:space="0" w:color="auto"/>
            </w:tcBorders>
            <w:shd w:val="clear" w:color="000000" w:fill="2F75B5"/>
            <w:noWrap/>
            <w:vAlign w:val="bottom"/>
            <w:hideMark/>
          </w:tcPr>
          <w:p w14:paraId="1711544F" w14:textId="77777777" w:rsidR="00382CF0" w:rsidRPr="00971A7A" w:rsidRDefault="00382CF0"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FTE</w:t>
            </w:r>
          </w:p>
        </w:tc>
        <w:tc>
          <w:tcPr>
            <w:tcW w:w="1657" w:type="dxa"/>
            <w:gridSpan w:val="5"/>
            <w:tcBorders>
              <w:top w:val="single" w:sz="4" w:space="0" w:color="auto"/>
              <w:left w:val="nil"/>
              <w:bottom w:val="single" w:sz="4" w:space="0" w:color="auto"/>
              <w:right w:val="single" w:sz="4" w:space="0" w:color="auto"/>
            </w:tcBorders>
            <w:shd w:val="clear" w:color="000000" w:fill="2F75B5"/>
            <w:noWrap/>
            <w:vAlign w:val="bottom"/>
            <w:hideMark/>
          </w:tcPr>
          <w:p w14:paraId="0EDC094F" w14:textId="77777777" w:rsidR="00382CF0" w:rsidRPr="00971A7A" w:rsidRDefault="00382CF0" w:rsidP="009A54E9">
            <w:pPr>
              <w:spacing w:after="0" w:line="240" w:lineRule="auto"/>
              <w:jc w:val="center"/>
              <w:rPr>
                <w:rFonts w:ascii="Calibri" w:eastAsia="Times New Roman" w:hAnsi="Calibri" w:cs="Calibri"/>
                <w:b/>
                <w:bCs/>
                <w:color w:val="FFFFFF"/>
                <w:sz w:val="16"/>
                <w:szCs w:val="16"/>
              </w:rPr>
            </w:pPr>
            <w:r w:rsidRPr="00971A7A">
              <w:rPr>
                <w:rFonts w:ascii="Calibri" w:eastAsia="Times New Roman" w:hAnsi="Calibri" w:cs="Calibri"/>
                <w:b/>
                <w:bCs/>
                <w:color w:val="FFFFFF"/>
                <w:sz w:val="16"/>
                <w:szCs w:val="16"/>
              </w:rPr>
              <w:t>Expenses</w:t>
            </w:r>
          </w:p>
        </w:tc>
      </w:tr>
      <w:tr w:rsidR="00971A7A" w:rsidRPr="00971A7A" w14:paraId="0F8151FC"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7CBC925E"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4500-Management</w:t>
            </w:r>
          </w:p>
        </w:tc>
        <w:tc>
          <w:tcPr>
            <w:tcW w:w="1016" w:type="dxa"/>
            <w:gridSpan w:val="2"/>
            <w:tcBorders>
              <w:top w:val="single" w:sz="4" w:space="0" w:color="auto"/>
              <w:left w:val="nil"/>
              <w:bottom w:val="nil"/>
              <w:right w:val="nil"/>
            </w:tcBorders>
            <w:shd w:val="clear" w:color="auto" w:fill="auto"/>
            <w:noWrap/>
            <w:vAlign w:val="bottom"/>
            <w:hideMark/>
          </w:tcPr>
          <w:p w14:paraId="69482691"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1232" w:type="dxa"/>
            <w:gridSpan w:val="2"/>
            <w:tcBorders>
              <w:top w:val="single" w:sz="4" w:space="0" w:color="auto"/>
              <w:left w:val="nil"/>
              <w:bottom w:val="nil"/>
              <w:right w:val="nil"/>
            </w:tcBorders>
            <w:shd w:val="clear" w:color="auto" w:fill="auto"/>
            <w:noWrap/>
            <w:vAlign w:val="bottom"/>
            <w:hideMark/>
          </w:tcPr>
          <w:p w14:paraId="0FFC83C9"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3,616 </w:t>
            </w:r>
          </w:p>
        </w:tc>
        <w:tc>
          <w:tcPr>
            <w:tcW w:w="643" w:type="dxa"/>
            <w:gridSpan w:val="3"/>
            <w:tcBorders>
              <w:top w:val="single" w:sz="4" w:space="0" w:color="auto"/>
              <w:left w:val="nil"/>
              <w:bottom w:val="nil"/>
              <w:right w:val="nil"/>
            </w:tcBorders>
            <w:shd w:val="clear" w:color="auto" w:fill="auto"/>
            <w:noWrap/>
            <w:vAlign w:val="bottom"/>
            <w:hideMark/>
          </w:tcPr>
          <w:p w14:paraId="65587A34"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0E5501F9"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6E396234"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2.5</w:t>
            </w:r>
          </w:p>
        </w:tc>
        <w:tc>
          <w:tcPr>
            <w:tcW w:w="1008" w:type="dxa"/>
            <w:gridSpan w:val="5"/>
            <w:tcBorders>
              <w:top w:val="single" w:sz="4" w:space="0" w:color="auto"/>
              <w:left w:val="nil"/>
              <w:bottom w:val="nil"/>
              <w:right w:val="nil"/>
            </w:tcBorders>
            <w:shd w:val="clear" w:color="auto" w:fill="auto"/>
            <w:noWrap/>
            <w:vAlign w:val="bottom"/>
            <w:hideMark/>
          </w:tcPr>
          <w:p w14:paraId="2A79604D"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438,704 </w:t>
            </w:r>
          </w:p>
        </w:tc>
        <w:tc>
          <w:tcPr>
            <w:tcW w:w="665" w:type="dxa"/>
            <w:gridSpan w:val="3"/>
            <w:tcBorders>
              <w:top w:val="single" w:sz="4" w:space="0" w:color="auto"/>
              <w:left w:val="nil"/>
              <w:bottom w:val="nil"/>
              <w:right w:val="nil"/>
            </w:tcBorders>
            <w:shd w:val="clear" w:color="auto" w:fill="auto"/>
            <w:noWrap/>
            <w:vAlign w:val="bottom"/>
            <w:hideMark/>
          </w:tcPr>
          <w:p w14:paraId="0D7023BF"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2.5</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22180B97"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442,320 </w:t>
            </w:r>
          </w:p>
        </w:tc>
      </w:tr>
      <w:tr w:rsidR="00971A7A" w:rsidRPr="00971A7A" w14:paraId="41B39283"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6F32F7E0"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4510-AD </w:t>
            </w:r>
            <w:proofErr w:type="spellStart"/>
            <w:r w:rsidRPr="00971A7A">
              <w:rPr>
                <w:rFonts w:ascii="Calibri" w:eastAsia="Times New Roman" w:hAnsi="Calibri" w:cs="Calibri"/>
                <w:color w:val="000000"/>
                <w:sz w:val="16"/>
                <w:szCs w:val="16"/>
              </w:rPr>
              <w:t>Mgmt</w:t>
            </w:r>
            <w:proofErr w:type="spellEnd"/>
          </w:p>
        </w:tc>
        <w:tc>
          <w:tcPr>
            <w:tcW w:w="1016" w:type="dxa"/>
            <w:gridSpan w:val="2"/>
            <w:tcBorders>
              <w:top w:val="nil"/>
              <w:left w:val="nil"/>
              <w:bottom w:val="nil"/>
              <w:right w:val="nil"/>
            </w:tcBorders>
            <w:shd w:val="clear" w:color="auto" w:fill="auto"/>
            <w:noWrap/>
            <w:vAlign w:val="bottom"/>
            <w:hideMark/>
          </w:tcPr>
          <w:p w14:paraId="115C4995"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1232" w:type="dxa"/>
            <w:gridSpan w:val="2"/>
            <w:tcBorders>
              <w:top w:val="nil"/>
              <w:left w:val="nil"/>
              <w:bottom w:val="nil"/>
              <w:right w:val="nil"/>
            </w:tcBorders>
            <w:shd w:val="clear" w:color="auto" w:fill="auto"/>
            <w:noWrap/>
            <w:vAlign w:val="bottom"/>
            <w:hideMark/>
          </w:tcPr>
          <w:p w14:paraId="1C7FA0B0"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0 </w:t>
            </w:r>
          </w:p>
        </w:tc>
        <w:tc>
          <w:tcPr>
            <w:tcW w:w="643" w:type="dxa"/>
            <w:gridSpan w:val="3"/>
            <w:tcBorders>
              <w:top w:val="nil"/>
              <w:left w:val="nil"/>
              <w:bottom w:val="nil"/>
              <w:right w:val="nil"/>
            </w:tcBorders>
            <w:shd w:val="clear" w:color="auto" w:fill="auto"/>
            <w:noWrap/>
            <w:vAlign w:val="bottom"/>
            <w:hideMark/>
          </w:tcPr>
          <w:p w14:paraId="67444552"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41243C4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262908F9"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2.5</w:t>
            </w:r>
          </w:p>
        </w:tc>
        <w:tc>
          <w:tcPr>
            <w:tcW w:w="1008" w:type="dxa"/>
            <w:gridSpan w:val="5"/>
            <w:tcBorders>
              <w:top w:val="nil"/>
              <w:left w:val="nil"/>
              <w:bottom w:val="nil"/>
              <w:right w:val="nil"/>
            </w:tcBorders>
            <w:shd w:val="clear" w:color="auto" w:fill="auto"/>
            <w:noWrap/>
            <w:vAlign w:val="bottom"/>
            <w:hideMark/>
          </w:tcPr>
          <w:p w14:paraId="0F49ED23"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438,704 </w:t>
            </w:r>
          </w:p>
        </w:tc>
        <w:tc>
          <w:tcPr>
            <w:tcW w:w="665" w:type="dxa"/>
            <w:gridSpan w:val="3"/>
            <w:tcBorders>
              <w:top w:val="nil"/>
              <w:left w:val="nil"/>
              <w:bottom w:val="nil"/>
              <w:right w:val="nil"/>
            </w:tcBorders>
            <w:shd w:val="clear" w:color="auto" w:fill="auto"/>
            <w:noWrap/>
            <w:vAlign w:val="bottom"/>
            <w:hideMark/>
          </w:tcPr>
          <w:p w14:paraId="221AFF6E"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2.5</w:t>
            </w:r>
          </w:p>
        </w:tc>
        <w:tc>
          <w:tcPr>
            <w:tcW w:w="975" w:type="dxa"/>
            <w:gridSpan w:val="2"/>
            <w:tcBorders>
              <w:top w:val="nil"/>
              <w:left w:val="nil"/>
              <w:bottom w:val="nil"/>
              <w:right w:val="single" w:sz="4" w:space="0" w:color="auto"/>
            </w:tcBorders>
            <w:shd w:val="clear" w:color="auto" w:fill="auto"/>
            <w:noWrap/>
            <w:vAlign w:val="bottom"/>
            <w:hideMark/>
          </w:tcPr>
          <w:p w14:paraId="00C5DCC8"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438,704 </w:t>
            </w:r>
          </w:p>
        </w:tc>
      </w:tr>
      <w:tr w:rsidR="00971A7A" w:rsidRPr="00971A7A" w14:paraId="46C57D4C"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21088BBA"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4520-Community Relations</w:t>
            </w:r>
          </w:p>
        </w:tc>
        <w:tc>
          <w:tcPr>
            <w:tcW w:w="1016" w:type="dxa"/>
            <w:gridSpan w:val="2"/>
            <w:tcBorders>
              <w:top w:val="nil"/>
              <w:left w:val="nil"/>
              <w:bottom w:val="single" w:sz="4" w:space="0" w:color="auto"/>
              <w:right w:val="nil"/>
            </w:tcBorders>
            <w:shd w:val="clear" w:color="auto" w:fill="auto"/>
            <w:noWrap/>
            <w:vAlign w:val="bottom"/>
            <w:hideMark/>
          </w:tcPr>
          <w:p w14:paraId="5FE51F3B"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1232" w:type="dxa"/>
            <w:gridSpan w:val="2"/>
            <w:tcBorders>
              <w:top w:val="nil"/>
              <w:left w:val="nil"/>
              <w:bottom w:val="single" w:sz="4" w:space="0" w:color="auto"/>
              <w:right w:val="nil"/>
            </w:tcBorders>
            <w:shd w:val="clear" w:color="auto" w:fill="auto"/>
            <w:noWrap/>
            <w:vAlign w:val="bottom"/>
            <w:hideMark/>
          </w:tcPr>
          <w:p w14:paraId="73EC1144"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3,616 </w:t>
            </w:r>
          </w:p>
        </w:tc>
        <w:tc>
          <w:tcPr>
            <w:tcW w:w="643" w:type="dxa"/>
            <w:gridSpan w:val="3"/>
            <w:tcBorders>
              <w:top w:val="nil"/>
              <w:left w:val="nil"/>
              <w:bottom w:val="single" w:sz="4" w:space="0" w:color="auto"/>
              <w:right w:val="nil"/>
            </w:tcBorders>
            <w:shd w:val="clear" w:color="auto" w:fill="auto"/>
            <w:noWrap/>
            <w:vAlign w:val="bottom"/>
            <w:hideMark/>
          </w:tcPr>
          <w:p w14:paraId="425F610D"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601B1998"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0AB1CF50"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single" w:sz="4" w:space="0" w:color="auto"/>
              <w:right w:val="nil"/>
            </w:tcBorders>
            <w:shd w:val="clear" w:color="auto" w:fill="auto"/>
            <w:noWrap/>
            <w:vAlign w:val="bottom"/>
            <w:hideMark/>
          </w:tcPr>
          <w:p w14:paraId="626AE389"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single" w:sz="4" w:space="0" w:color="auto"/>
              <w:right w:val="nil"/>
            </w:tcBorders>
            <w:shd w:val="clear" w:color="auto" w:fill="auto"/>
            <w:noWrap/>
            <w:vAlign w:val="bottom"/>
            <w:hideMark/>
          </w:tcPr>
          <w:p w14:paraId="39A7F6CE"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7BB41639"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3,616 </w:t>
            </w:r>
          </w:p>
        </w:tc>
      </w:tr>
      <w:tr w:rsidR="00971A7A" w:rsidRPr="00971A7A" w14:paraId="01DEB975" w14:textId="77777777" w:rsidTr="009924E1">
        <w:trPr>
          <w:gridAfter w:val="1"/>
          <w:wAfter w:w="130" w:type="dxa"/>
          <w:trHeight w:val="300"/>
        </w:trPr>
        <w:tc>
          <w:tcPr>
            <w:tcW w:w="2520" w:type="dxa"/>
            <w:tcBorders>
              <w:top w:val="single" w:sz="4" w:space="0" w:color="auto"/>
              <w:left w:val="single" w:sz="4" w:space="0" w:color="auto"/>
              <w:bottom w:val="single" w:sz="4" w:space="0" w:color="auto"/>
              <w:right w:val="nil"/>
            </w:tcBorders>
            <w:shd w:val="clear" w:color="auto" w:fill="auto"/>
            <w:noWrap/>
            <w:vAlign w:val="bottom"/>
            <w:hideMark/>
          </w:tcPr>
          <w:p w14:paraId="2164985D"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4800-NRAO Overhead</w:t>
            </w:r>
          </w:p>
        </w:tc>
        <w:tc>
          <w:tcPr>
            <w:tcW w:w="1016" w:type="dxa"/>
            <w:gridSpan w:val="2"/>
            <w:tcBorders>
              <w:top w:val="single" w:sz="4" w:space="0" w:color="auto"/>
              <w:left w:val="nil"/>
              <w:bottom w:val="single" w:sz="4" w:space="0" w:color="auto"/>
              <w:right w:val="nil"/>
            </w:tcBorders>
            <w:shd w:val="clear" w:color="auto" w:fill="auto"/>
            <w:noWrap/>
            <w:vAlign w:val="bottom"/>
            <w:hideMark/>
          </w:tcPr>
          <w:p w14:paraId="2B35F3C4"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1232" w:type="dxa"/>
            <w:gridSpan w:val="2"/>
            <w:tcBorders>
              <w:top w:val="single" w:sz="4" w:space="0" w:color="auto"/>
              <w:left w:val="nil"/>
              <w:bottom w:val="single" w:sz="4" w:space="0" w:color="auto"/>
              <w:right w:val="nil"/>
            </w:tcBorders>
            <w:shd w:val="clear" w:color="auto" w:fill="auto"/>
            <w:noWrap/>
            <w:vAlign w:val="bottom"/>
            <w:hideMark/>
          </w:tcPr>
          <w:p w14:paraId="4FD560B9"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3,450,126 </w:t>
            </w:r>
          </w:p>
        </w:tc>
        <w:tc>
          <w:tcPr>
            <w:tcW w:w="643" w:type="dxa"/>
            <w:gridSpan w:val="3"/>
            <w:tcBorders>
              <w:top w:val="single" w:sz="4" w:space="0" w:color="auto"/>
              <w:left w:val="nil"/>
              <w:bottom w:val="single" w:sz="4" w:space="0" w:color="auto"/>
              <w:right w:val="nil"/>
            </w:tcBorders>
            <w:shd w:val="clear" w:color="auto" w:fill="auto"/>
            <w:noWrap/>
            <w:vAlign w:val="bottom"/>
            <w:hideMark/>
          </w:tcPr>
          <w:p w14:paraId="47EC6DBA"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single" w:sz="4" w:space="0" w:color="auto"/>
              <w:right w:val="nil"/>
            </w:tcBorders>
            <w:shd w:val="clear" w:color="auto" w:fill="auto"/>
            <w:noWrap/>
            <w:vAlign w:val="bottom"/>
            <w:hideMark/>
          </w:tcPr>
          <w:p w14:paraId="543A4E36"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140,660 </w:t>
            </w:r>
          </w:p>
        </w:tc>
        <w:tc>
          <w:tcPr>
            <w:tcW w:w="489" w:type="dxa"/>
            <w:gridSpan w:val="2"/>
            <w:tcBorders>
              <w:top w:val="single" w:sz="4" w:space="0" w:color="auto"/>
              <w:left w:val="nil"/>
              <w:bottom w:val="single" w:sz="4" w:space="0" w:color="auto"/>
              <w:right w:val="nil"/>
            </w:tcBorders>
            <w:shd w:val="clear" w:color="auto" w:fill="auto"/>
            <w:noWrap/>
            <w:vAlign w:val="bottom"/>
            <w:hideMark/>
          </w:tcPr>
          <w:p w14:paraId="5BD75F0F"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1008" w:type="dxa"/>
            <w:gridSpan w:val="5"/>
            <w:tcBorders>
              <w:top w:val="single" w:sz="4" w:space="0" w:color="auto"/>
              <w:left w:val="nil"/>
              <w:bottom w:val="single" w:sz="4" w:space="0" w:color="auto"/>
              <w:right w:val="nil"/>
            </w:tcBorders>
            <w:shd w:val="clear" w:color="auto" w:fill="auto"/>
            <w:noWrap/>
            <w:vAlign w:val="bottom"/>
            <w:hideMark/>
          </w:tcPr>
          <w:p w14:paraId="70669C6F"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(2,605,749)</w:t>
            </w:r>
          </w:p>
        </w:tc>
        <w:tc>
          <w:tcPr>
            <w:tcW w:w="665" w:type="dxa"/>
            <w:gridSpan w:val="3"/>
            <w:tcBorders>
              <w:top w:val="single" w:sz="4" w:space="0" w:color="auto"/>
              <w:left w:val="nil"/>
              <w:bottom w:val="single" w:sz="4" w:space="0" w:color="auto"/>
              <w:right w:val="nil"/>
            </w:tcBorders>
            <w:shd w:val="clear" w:color="auto" w:fill="auto"/>
            <w:noWrap/>
            <w:vAlign w:val="bottom"/>
            <w:hideMark/>
          </w:tcPr>
          <w:p w14:paraId="2B8C544C"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8AB8C2"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985,037 </w:t>
            </w:r>
          </w:p>
        </w:tc>
      </w:tr>
      <w:tr w:rsidR="00971A7A" w:rsidRPr="00971A7A" w14:paraId="5F75F8C3" w14:textId="77777777" w:rsidTr="009924E1">
        <w:trPr>
          <w:gridAfter w:val="1"/>
          <w:wAfter w:w="130" w:type="dxa"/>
          <w:trHeight w:val="300"/>
        </w:trPr>
        <w:tc>
          <w:tcPr>
            <w:tcW w:w="2520" w:type="dxa"/>
            <w:tcBorders>
              <w:top w:val="single" w:sz="4" w:space="0" w:color="auto"/>
              <w:left w:val="single" w:sz="4" w:space="0" w:color="auto"/>
              <w:bottom w:val="single" w:sz="4" w:space="0" w:color="auto"/>
              <w:right w:val="nil"/>
            </w:tcBorders>
            <w:shd w:val="clear" w:color="auto" w:fill="auto"/>
            <w:noWrap/>
            <w:vAlign w:val="bottom"/>
            <w:hideMark/>
          </w:tcPr>
          <w:p w14:paraId="587D5BD9" w14:textId="77777777" w:rsidR="00971A7A" w:rsidRPr="00971A7A" w:rsidRDefault="00971A7A" w:rsidP="00971A7A">
            <w:pPr>
              <w:spacing w:after="0" w:line="240" w:lineRule="auto"/>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5000-Director's Office</w:t>
            </w:r>
          </w:p>
        </w:tc>
        <w:tc>
          <w:tcPr>
            <w:tcW w:w="1016" w:type="dxa"/>
            <w:gridSpan w:val="2"/>
            <w:tcBorders>
              <w:top w:val="single" w:sz="4" w:space="0" w:color="auto"/>
              <w:left w:val="nil"/>
              <w:bottom w:val="single" w:sz="4" w:space="0" w:color="auto"/>
              <w:right w:val="nil"/>
            </w:tcBorders>
            <w:shd w:val="clear" w:color="auto" w:fill="auto"/>
            <w:noWrap/>
            <w:vAlign w:val="bottom"/>
            <w:hideMark/>
          </w:tcPr>
          <w:p w14:paraId="5C398354"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1232" w:type="dxa"/>
            <w:gridSpan w:val="2"/>
            <w:tcBorders>
              <w:top w:val="single" w:sz="4" w:space="0" w:color="auto"/>
              <w:left w:val="nil"/>
              <w:bottom w:val="single" w:sz="4" w:space="0" w:color="auto"/>
              <w:right w:val="nil"/>
            </w:tcBorders>
            <w:shd w:val="clear" w:color="auto" w:fill="auto"/>
            <w:noWrap/>
            <w:vAlign w:val="bottom"/>
            <w:hideMark/>
          </w:tcPr>
          <w:p w14:paraId="257002C9"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961,272 </w:t>
            </w:r>
          </w:p>
        </w:tc>
        <w:tc>
          <w:tcPr>
            <w:tcW w:w="643" w:type="dxa"/>
            <w:gridSpan w:val="3"/>
            <w:tcBorders>
              <w:top w:val="single" w:sz="4" w:space="0" w:color="auto"/>
              <w:left w:val="nil"/>
              <w:bottom w:val="single" w:sz="4" w:space="0" w:color="auto"/>
              <w:right w:val="nil"/>
            </w:tcBorders>
            <w:shd w:val="clear" w:color="auto" w:fill="auto"/>
            <w:noWrap/>
            <w:vAlign w:val="bottom"/>
            <w:hideMark/>
          </w:tcPr>
          <w:p w14:paraId="5527A79E"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single" w:sz="4" w:space="0" w:color="auto"/>
              <w:right w:val="nil"/>
            </w:tcBorders>
            <w:shd w:val="clear" w:color="auto" w:fill="auto"/>
            <w:noWrap/>
            <w:vAlign w:val="bottom"/>
            <w:hideMark/>
          </w:tcPr>
          <w:p w14:paraId="6D5646FD"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35,521 </w:t>
            </w:r>
          </w:p>
        </w:tc>
        <w:tc>
          <w:tcPr>
            <w:tcW w:w="489" w:type="dxa"/>
            <w:gridSpan w:val="2"/>
            <w:tcBorders>
              <w:top w:val="single" w:sz="4" w:space="0" w:color="auto"/>
              <w:left w:val="nil"/>
              <w:bottom w:val="single" w:sz="4" w:space="0" w:color="auto"/>
              <w:right w:val="nil"/>
            </w:tcBorders>
            <w:shd w:val="clear" w:color="auto" w:fill="auto"/>
            <w:noWrap/>
            <w:vAlign w:val="bottom"/>
            <w:hideMark/>
          </w:tcPr>
          <w:p w14:paraId="21EE5C03"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1008" w:type="dxa"/>
            <w:gridSpan w:val="5"/>
            <w:tcBorders>
              <w:top w:val="single" w:sz="4" w:space="0" w:color="auto"/>
              <w:left w:val="nil"/>
              <w:bottom w:val="single" w:sz="4" w:space="0" w:color="auto"/>
              <w:right w:val="nil"/>
            </w:tcBorders>
            <w:shd w:val="clear" w:color="auto" w:fill="auto"/>
            <w:noWrap/>
            <w:vAlign w:val="bottom"/>
            <w:hideMark/>
          </w:tcPr>
          <w:p w14:paraId="504C9B8E"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single" w:sz="4" w:space="0" w:color="auto"/>
              <w:right w:val="nil"/>
            </w:tcBorders>
            <w:shd w:val="clear" w:color="auto" w:fill="auto"/>
            <w:noWrap/>
            <w:vAlign w:val="bottom"/>
            <w:hideMark/>
          </w:tcPr>
          <w:p w14:paraId="25F886D5"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59509A"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996,793 </w:t>
            </w:r>
          </w:p>
        </w:tc>
      </w:tr>
      <w:tr w:rsidR="00971A7A" w:rsidRPr="00971A7A" w14:paraId="31DBB2EE" w14:textId="77777777" w:rsidTr="009924E1">
        <w:trPr>
          <w:gridAfter w:val="1"/>
          <w:wAfter w:w="130" w:type="dxa"/>
          <w:trHeight w:val="300"/>
        </w:trPr>
        <w:tc>
          <w:tcPr>
            <w:tcW w:w="2520" w:type="dxa"/>
            <w:tcBorders>
              <w:top w:val="single" w:sz="4" w:space="0" w:color="auto"/>
              <w:left w:val="single" w:sz="4" w:space="0" w:color="auto"/>
              <w:bottom w:val="single" w:sz="4" w:space="0" w:color="auto"/>
              <w:right w:val="nil"/>
            </w:tcBorders>
            <w:shd w:val="clear" w:color="auto" w:fill="auto"/>
            <w:noWrap/>
            <w:vAlign w:val="bottom"/>
            <w:hideMark/>
          </w:tcPr>
          <w:p w14:paraId="4246DA0B"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5800-AUI Fee and IDC</w:t>
            </w:r>
          </w:p>
        </w:tc>
        <w:tc>
          <w:tcPr>
            <w:tcW w:w="1016" w:type="dxa"/>
            <w:gridSpan w:val="2"/>
            <w:tcBorders>
              <w:top w:val="single" w:sz="4" w:space="0" w:color="auto"/>
              <w:left w:val="nil"/>
              <w:bottom w:val="single" w:sz="4" w:space="0" w:color="auto"/>
              <w:right w:val="nil"/>
            </w:tcBorders>
            <w:shd w:val="clear" w:color="auto" w:fill="auto"/>
            <w:noWrap/>
            <w:vAlign w:val="bottom"/>
            <w:hideMark/>
          </w:tcPr>
          <w:p w14:paraId="3327ADCA"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1232" w:type="dxa"/>
            <w:gridSpan w:val="2"/>
            <w:tcBorders>
              <w:top w:val="single" w:sz="4" w:space="0" w:color="auto"/>
              <w:left w:val="nil"/>
              <w:bottom w:val="single" w:sz="4" w:space="0" w:color="auto"/>
              <w:right w:val="nil"/>
            </w:tcBorders>
            <w:shd w:val="clear" w:color="auto" w:fill="auto"/>
            <w:noWrap/>
            <w:vAlign w:val="bottom"/>
            <w:hideMark/>
          </w:tcPr>
          <w:p w14:paraId="1442F767"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961,272 </w:t>
            </w:r>
          </w:p>
        </w:tc>
        <w:tc>
          <w:tcPr>
            <w:tcW w:w="643" w:type="dxa"/>
            <w:gridSpan w:val="3"/>
            <w:tcBorders>
              <w:top w:val="single" w:sz="4" w:space="0" w:color="auto"/>
              <w:left w:val="nil"/>
              <w:bottom w:val="single" w:sz="4" w:space="0" w:color="auto"/>
              <w:right w:val="nil"/>
            </w:tcBorders>
            <w:shd w:val="clear" w:color="auto" w:fill="auto"/>
            <w:noWrap/>
            <w:vAlign w:val="bottom"/>
            <w:hideMark/>
          </w:tcPr>
          <w:p w14:paraId="6819D5CD"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single" w:sz="4" w:space="0" w:color="auto"/>
              <w:right w:val="nil"/>
            </w:tcBorders>
            <w:shd w:val="clear" w:color="auto" w:fill="auto"/>
            <w:noWrap/>
            <w:vAlign w:val="bottom"/>
            <w:hideMark/>
          </w:tcPr>
          <w:p w14:paraId="422BF9D5"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35,521 </w:t>
            </w:r>
          </w:p>
        </w:tc>
        <w:tc>
          <w:tcPr>
            <w:tcW w:w="489" w:type="dxa"/>
            <w:gridSpan w:val="2"/>
            <w:tcBorders>
              <w:top w:val="single" w:sz="4" w:space="0" w:color="auto"/>
              <w:left w:val="nil"/>
              <w:bottom w:val="single" w:sz="4" w:space="0" w:color="auto"/>
              <w:right w:val="nil"/>
            </w:tcBorders>
            <w:shd w:val="clear" w:color="auto" w:fill="auto"/>
            <w:noWrap/>
            <w:vAlign w:val="bottom"/>
            <w:hideMark/>
          </w:tcPr>
          <w:p w14:paraId="2C1C2A7C"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1008" w:type="dxa"/>
            <w:gridSpan w:val="5"/>
            <w:tcBorders>
              <w:top w:val="single" w:sz="4" w:space="0" w:color="auto"/>
              <w:left w:val="nil"/>
              <w:bottom w:val="single" w:sz="4" w:space="0" w:color="auto"/>
              <w:right w:val="nil"/>
            </w:tcBorders>
            <w:shd w:val="clear" w:color="auto" w:fill="auto"/>
            <w:noWrap/>
            <w:vAlign w:val="bottom"/>
            <w:hideMark/>
          </w:tcPr>
          <w:p w14:paraId="4F96A32C"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single" w:sz="4" w:space="0" w:color="auto"/>
              <w:right w:val="nil"/>
            </w:tcBorders>
            <w:shd w:val="clear" w:color="auto" w:fill="auto"/>
            <w:noWrap/>
            <w:vAlign w:val="bottom"/>
            <w:hideMark/>
          </w:tcPr>
          <w:p w14:paraId="60FEBDCD"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C4541D"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996,793 </w:t>
            </w:r>
          </w:p>
        </w:tc>
      </w:tr>
      <w:tr w:rsidR="00971A7A" w:rsidRPr="00971A7A" w14:paraId="3BA439EE" w14:textId="77777777" w:rsidTr="009924E1">
        <w:trPr>
          <w:gridAfter w:val="1"/>
          <w:wAfter w:w="130" w:type="dxa"/>
          <w:trHeight w:val="300"/>
        </w:trPr>
        <w:tc>
          <w:tcPr>
            <w:tcW w:w="2520" w:type="dxa"/>
            <w:tcBorders>
              <w:top w:val="single" w:sz="4" w:space="0" w:color="auto"/>
              <w:left w:val="single" w:sz="4" w:space="0" w:color="auto"/>
              <w:bottom w:val="single" w:sz="4" w:space="0" w:color="auto"/>
              <w:right w:val="nil"/>
            </w:tcBorders>
            <w:shd w:val="clear" w:color="auto" w:fill="auto"/>
            <w:noWrap/>
            <w:vAlign w:val="bottom"/>
            <w:hideMark/>
          </w:tcPr>
          <w:p w14:paraId="546C187F" w14:textId="77777777" w:rsidR="00971A7A" w:rsidRPr="00971A7A" w:rsidRDefault="00971A7A" w:rsidP="00E438B1">
            <w:pPr>
              <w:spacing w:before="120" w:after="0" w:line="240" w:lineRule="auto"/>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6000-Education &amp; Public Outreach</w:t>
            </w:r>
          </w:p>
        </w:tc>
        <w:tc>
          <w:tcPr>
            <w:tcW w:w="1016" w:type="dxa"/>
            <w:gridSpan w:val="2"/>
            <w:tcBorders>
              <w:top w:val="single" w:sz="4" w:space="0" w:color="auto"/>
              <w:left w:val="nil"/>
              <w:bottom w:val="single" w:sz="4" w:space="0" w:color="auto"/>
              <w:right w:val="nil"/>
            </w:tcBorders>
            <w:shd w:val="clear" w:color="auto" w:fill="auto"/>
            <w:noWrap/>
            <w:vAlign w:val="bottom"/>
            <w:hideMark/>
          </w:tcPr>
          <w:p w14:paraId="51F49747" w14:textId="77777777" w:rsidR="00971A7A" w:rsidRPr="00971A7A" w:rsidRDefault="00971A7A" w:rsidP="00E438B1">
            <w:pPr>
              <w:spacing w:before="120"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6.95</w:t>
            </w:r>
          </w:p>
        </w:tc>
        <w:tc>
          <w:tcPr>
            <w:tcW w:w="1232" w:type="dxa"/>
            <w:gridSpan w:val="2"/>
            <w:tcBorders>
              <w:top w:val="single" w:sz="4" w:space="0" w:color="auto"/>
              <w:left w:val="nil"/>
              <w:bottom w:val="single" w:sz="4" w:space="0" w:color="auto"/>
              <w:right w:val="nil"/>
            </w:tcBorders>
            <w:shd w:val="clear" w:color="auto" w:fill="auto"/>
            <w:noWrap/>
            <w:vAlign w:val="bottom"/>
            <w:hideMark/>
          </w:tcPr>
          <w:p w14:paraId="2F5C6226" w14:textId="77777777" w:rsidR="00971A7A" w:rsidRPr="00971A7A" w:rsidRDefault="00971A7A" w:rsidP="00E438B1">
            <w:pPr>
              <w:spacing w:before="120"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584,435 </w:t>
            </w:r>
          </w:p>
        </w:tc>
        <w:tc>
          <w:tcPr>
            <w:tcW w:w="643" w:type="dxa"/>
            <w:gridSpan w:val="3"/>
            <w:tcBorders>
              <w:top w:val="single" w:sz="4" w:space="0" w:color="auto"/>
              <w:left w:val="nil"/>
              <w:bottom w:val="single" w:sz="4" w:space="0" w:color="auto"/>
              <w:right w:val="nil"/>
            </w:tcBorders>
            <w:shd w:val="clear" w:color="auto" w:fill="auto"/>
            <w:noWrap/>
            <w:vAlign w:val="bottom"/>
            <w:hideMark/>
          </w:tcPr>
          <w:p w14:paraId="062E201A" w14:textId="77777777" w:rsidR="00971A7A" w:rsidRPr="00971A7A" w:rsidRDefault="00971A7A" w:rsidP="00E438B1">
            <w:pPr>
              <w:spacing w:before="120"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single" w:sz="4" w:space="0" w:color="auto"/>
              <w:right w:val="nil"/>
            </w:tcBorders>
            <w:shd w:val="clear" w:color="auto" w:fill="auto"/>
            <w:noWrap/>
            <w:vAlign w:val="bottom"/>
            <w:hideMark/>
          </w:tcPr>
          <w:p w14:paraId="3292462F" w14:textId="77777777" w:rsidR="00971A7A" w:rsidRPr="00971A7A" w:rsidRDefault="00971A7A" w:rsidP="00E438B1">
            <w:pPr>
              <w:spacing w:before="120"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single" w:sz="4" w:space="0" w:color="auto"/>
              <w:right w:val="nil"/>
            </w:tcBorders>
            <w:shd w:val="clear" w:color="auto" w:fill="auto"/>
            <w:noWrap/>
            <w:vAlign w:val="bottom"/>
            <w:hideMark/>
          </w:tcPr>
          <w:p w14:paraId="309B5084" w14:textId="77777777" w:rsidR="00971A7A" w:rsidRPr="00971A7A" w:rsidRDefault="00971A7A" w:rsidP="00E438B1">
            <w:pPr>
              <w:spacing w:before="120"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w:t>
            </w:r>
          </w:p>
        </w:tc>
        <w:tc>
          <w:tcPr>
            <w:tcW w:w="1008" w:type="dxa"/>
            <w:gridSpan w:val="5"/>
            <w:tcBorders>
              <w:top w:val="single" w:sz="4" w:space="0" w:color="auto"/>
              <w:left w:val="nil"/>
              <w:bottom w:val="single" w:sz="4" w:space="0" w:color="auto"/>
              <w:right w:val="nil"/>
            </w:tcBorders>
            <w:shd w:val="clear" w:color="auto" w:fill="auto"/>
            <w:noWrap/>
            <w:vAlign w:val="bottom"/>
            <w:hideMark/>
          </w:tcPr>
          <w:p w14:paraId="516CB0D1" w14:textId="77777777" w:rsidR="00971A7A" w:rsidRPr="00971A7A" w:rsidRDefault="00971A7A" w:rsidP="00E438B1">
            <w:pPr>
              <w:spacing w:before="120"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79,980 </w:t>
            </w:r>
          </w:p>
        </w:tc>
        <w:tc>
          <w:tcPr>
            <w:tcW w:w="665" w:type="dxa"/>
            <w:gridSpan w:val="3"/>
            <w:tcBorders>
              <w:top w:val="single" w:sz="4" w:space="0" w:color="auto"/>
              <w:left w:val="nil"/>
              <w:bottom w:val="single" w:sz="4" w:space="0" w:color="auto"/>
              <w:right w:val="nil"/>
            </w:tcBorders>
            <w:shd w:val="clear" w:color="auto" w:fill="auto"/>
            <w:noWrap/>
            <w:vAlign w:val="bottom"/>
            <w:hideMark/>
          </w:tcPr>
          <w:p w14:paraId="51C82C19" w14:textId="77777777" w:rsidR="00971A7A" w:rsidRPr="00971A7A" w:rsidRDefault="00971A7A" w:rsidP="00E438B1">
            <w:pPr>
              <w:spacing w:before="120"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7.95</w:t>
            </w:r>
          </w:p>
        </w:tc>
        <w:tc>
          <w:tcPr>
            <w:tcW w:w="9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50A3B0" w14:textId="77777777" w:rsidR="00971A7A" w:rsidRPr="00971A7A" w:rsidRDefault="00971A7A" w:rsidP="00E438B1">
            <w:pPr>
              <w:spacing w:before="120"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664,415 </w:t>
            </w:r>
          </w:p>
        </w:tc>
      </w:tr>
      <w:tr w:rsidR="00971A7A" w:rsidRPr="00971A7A" w14:paraId="728D3A3B"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264F32A2" w14:textId="77777777" w:rsidR="00971A7A" w:rsidRPr="00971A7A" w:rsidRDefault="00971A7A" w:rsidP="00E438B1">
            <w:pPr>
              <w:spacing w:before="120" w:after="0" w:line="240" w:lineRule="auto"/>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6100-News and Media Releases</w:t>
            </w:r>
          </w:p>
        </w:tc>
        <w:tc>
          <w:tcPr>
            <w:tcW w:w="1016" w:type="dxa"/>
            <w:gridSpan w:val="2"/>
            <w:tcBorders>
              <w:top w:val="single" w:sz="4" w:space="0" w:color="auto"/>
              <w:left w:val="nil"/>
              <w:bottom w:val="nil"/>
              <w:right w:val="nil"/>
            </w:tcBorders>
            <w:shd w:val="clear" w:color="auto" w:fill="auto"/>
            <w:noWrap/>
            <w:vAlign w:val="bottom"/>
            <w:hideMark/>
          </w:tcPr>
          <w:p w14:paraId="47563C28" w14:textId="77777777" w:rsidR="00971A7A" w:rsidRPr="00971A7A" w:rsidRDefault="00971A7A" w:rsidP="00E438B1">
            <w:pPr>
              <w:spacing w:before="120"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0.5</w:t>
            </w:r>
          </w:p>
        </w:tc>
        <w:tc>
          <w:tcPr>
            <w:tcW w:w="1232" w:type="dxa"/>
            <w:gridSpan w:val="2"/>
            <w:tcBorders>
              <w:top w:val="single" w:sz="4" w:space="0" w:color="auto"/>
              <w:left w:val="nil"/>
              <w:bottom w:val="nil"/>
              <w:right w:val="nil"/>
            </w:tcBorders>
            <w:shd w:val="clear" w:color="auto" w:fill="auto"/>
            <w:noWrap/>
            <w:vAlign w:val="bottom"/>
            <w:hideMark/>
          </w:tcPr>
          <w:p w14:paraId="524E9310" w14:textId="77777777" w:rsidR="00971A7A" w:rsidRPr="00971A7A" w:rsidRDefault="00971A7A" w:rsidP="00E438B1">
            <w:pPr>
              <w:spacing w:before="120"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46,767 </w:t>
            </w:r>
          </w:p>
        </w:tc>
        <w:tc>
          <w:tcPr>
            <w:tcW w:w="643" w:type="dxa"/>
            <w:gridSpan w:val="3"/>
            <w:tcBorders>
              <w:top w:val="single" w:sz="4" w:space="0" w:color="auto"/>
              <w:left w:val="nil"/>
              <w:bottom w:val="nil"/>
              <w:right w:val="nil"/>
            </w:tcBorders>
            <w:shd w:val="clear" w:color="auto" w:fill="auto"/>
            <w:noWrap/>
            <w:vAlign w:val="bottom"/>
            <w:hideMark/>
          </w:tcPr>
          <w:p w14:paraId="2B6CA00F" w14:textId="77777777" w:rsidR="00971A7A" w:rsidRPr="00971A7A" w:rsidRDefault="00971A7A" w:rsidP="00E438B1">
            <w:pPr>
              <w:spacing w:before="120"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014531BA" w14:textId="77777777" w:rsidR="00971A7A" w:rsidRPr="00971A7A" w:rsidRDefault="00971A7A" w:rsidP="00E438B1">
            <w:pPr>
              <w:spacing w:before="120"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56914A9E" w14:textId="77777777" w:rsidR="00971A7A" w:rsidRPr="00971A7A" w:rsidRDefault="00971A7A" w:rsidP="00E438B1">
            <w:pPr>
              <w:spacing w:before="120" w:after="0" w:line="240" w:lineRule="auto"/>
              <w:jc w:val="left"/>
              <w:rPr>
                <w:rFonts w:ascii="Times New Roman" w:eastAsia="Times New Roman" w:hAnsi="Times New Roman" w:cs="Times New Roman"/>
                <w:sz w:val="16"/>
                <w:szCs w:val="16"/>
              </w:rPr>
            </w:pPr>
          </w:p>
        </w:tc>
        <w:tc>
          <w:tcPr>
            <w:tcW w:w="1008" w:type="dxa"/>
            <w:gridSpan w:val="5"/>
            <w:tcBorders>
              <w:top w:val="single" w:sz="4" w:space="0" w:color="auto"/>
              <w:left w:val="nil"/>
              <w:bottom w:val="nil"/>
              <w:right w:val="nil"/>
            </w:tcBorders>
            <w:shd w:val="clear" w:color="auto" w:fill="auto"/>
            <w:noWrap/>
            <w:vAlign w:val="bottom"/>
            <w:hideMark/>
          </w:tcPr>
          <w:p w14:paraId="1EE86306" w14:textId="77777777" w:rsidR="00971A7A" w:rsidRPr="00971A7A" w:rsidRDefault="00971A7A" w:rsidP="00E438B1">
            <w:pPr>
              <w:spacing w:before="120"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nil"/>
              <w:right w:val="nil"/>
            </w:tcBorders>
            <w:shd w:val="clear" w:color="auto" w:fill="auto"/>
            <w:noWrap/>
            <w:vAlign w:val="bottom"/>
            <w:hideMark/>
          </w:tcPr>
          <w:p w14:paraId="542B9107" w14:textId="77777777" w:rsidR="00971A7A" w:rsidRPr="00971A7A" w:rsidRDefault="00971A7A" w:rsidP="00E438B1">
            <w:pPr>
              <w:spacing w:before="120"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0.5</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2667AE0F" w14:textId="77777777" w:rsidR="00971A7A" w:rsidRPr="00971A7A" w:rsidRDefault="00971A7A" w:rsidP="00E438B1">
            <w:pPr>
              <w:spacing w:before="120"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46,767 </w:t>
            </w:r>
          </w:p>
        </w:tc>
      </w:tr>
      <w:tr w:rsidR="00971A7A" w:rsidRPr="00971A7A" w14:paraId="05CC416A"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2EFFDFE6"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6110-Press Publications</w:t>
            </w:r>
          </w:p>
        </w:tc>
        <w:tc>
          <w:tcPr>
            <w:tcW w:w="1016" w:type="dxa"/>
            <w:gridSpan w:val="2"/>
            <w:tcBorders>
              <w:top w:val="nil"/>
              <w:left w:val="nil"/>
              <w:bottom w:val="single" w:sz="4" w:space="0" w:color="auto"/>
              <w:right w:val="nil"/>
            </w:tcBorders>
            <w:shd w:val="clear" w:color="auto" w:fill="auto"/>
            <w:noWrap/>
            <w:vAlign w:val="bottom"/>
            <w:hideMark/>
          </w:tcPr>
          <w:p w14:paraId="293D34C7"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0.5</w:t>
            </w:r>
          </w:p>
        </w:tc>
        <w:tc>
          <w:tcPr>
            <w:tcW w:w="1232" w:type="dxa"/>
            <w:gridSpan w:val="2"/>
            <w:tcBorders>
              <w:top w:val="nil"/>
              <w:left w:val="nil"/>
              <w:bottom w:val="single" w:sz="4" w:space="0" w:color="auto"/>
              <w:right w:val="nil"/>
            </w:tcBorders>
            <w:shd w:val="clear" w:color="auto" w:fill="auto"/>
            <w:noWrap/>
            <w:vAlign w:val="bottom"/>
            <w:hideMark/>
          </w:tcPr>
          <w:p w14:paraId="2C1E6EF1"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46,767 </w:t>
            </w:r>
          </w:p>
        </w:tc>
        <w:tc>
          <w:tcPr>
            <w:tcW w:w="643" w:type="dxa"/>
            <w:gridSpan w:val="3"/>
            <w:tcBorders>
              <w:top w:val="nil"/>
              <w:left w:val="nil"/>
              <w:bottom w:val="single" w:sz="4" w:space="0" w:color="auto"/>
              <w:right w:val="nil"/>
            </w:tcBorders>
            <w:shd w:val="clear" w:color="auto" w:fill="auto"/>
            <w:noWrap/>
            <w:vAlign w:val="bottom"/>
            <w:hideMark/>
          </w:tcPr>
          <w:p w14:paraId="2692D351"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69C19401"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4257D270"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single" w:sz="4" w:space="0" w:color="auto"/>
              <w:right w:val="nil"/>
            </w:tcBorders>
            <w:shd w:val="clear" w:color="auto" w:fill="auto"/>
            <w:noWrap/>
            <w:vAlign w:val="bottom"/>
            <w:hideMark/>
          </w:tcPr>
          <w:p w14:paraId="3E30F7FE"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single" w:sz="4" w:space="0" w:color="auto"/>
              <w:right w:val="nil"/>
            </w:tcBorders>
            <w:shd w:val="clear" w:color="auto" w:fill="auto"/>
            <w:noWrap/>
            <w:vAlign w:val="bottom"/>
            <w:hideMark/>
          </w:tcPr>
          <w:p w14:paraId="77A694ED"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4CAC3724"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46,767 </w:t>
            </w:r>
          </w:p>
        </w:tc>
      </w:tr>
      <w:tr w:rsidR="00971A7A" w:rsidRPr="00971A7A" w14:paraId="48F7E1D7"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07F6311D"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6200-STEAM Education</w:t>
            </w:r>
          </w:p>
        </w:tc>
        <w:tc>
          <w:tcPr>
            <w:tcW w:w="1016" w:type="dxa"/>
            <w:gridSpan w:val="2"/>
            <w:tcBorders>
              <w:top w:val="single" w:sz="4" w:space="0" w:color="auto"/>
              <w:left w:val="nil"/>
              <w:bottom w:val="nil"/>
              <w:right w:val="nil"/>
            </w:tcBorders>
            <w:shd w:val="clear" w:color="auto" w:fill="auto"/>
            <w:noWrap/>
            <w:vAlign w:val="bottom"/>
            <w:hideMark/>
          </w:tcPr>
          <w:p w14:paraId="0AC6E275"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2.95</w:t>
            </w:r>
          </w:p>
        </w:tc>
        <w:tc>
          <w:tcPr>
            <w:tcW w:w="1232" w:type="dxa"/>
            <w:gridSpan w:val="2"/>
            <w:tcBorders>
              <w:top w:val="single" w:sz="4" w:space="0" w:color="auto"/>
              <w:left w:val="nil"/>
              <w:bottom w:val="nil"/>
              <w:right w:val="nil"/>
            </w:tcBorders>
            <w:shd w:val="clear" w:color="auto" w:fill="auto"/>
            <w:noWrap/>
            <w:vAlign w:val="bottom"/>
            <w:hideMark/>
          </w:tcPr>
          <w:p w14:paraId="0AEA4978"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315,386 </w:t>
            </w:r>
          </w:p>
        </w:tc>
        <w:tc>
          <w:tcPr>
            <w:tcW w:w="643" w:type="dxa"/>
            <w:gridSpan w:val="3"/>
            <w:tcBorders>
              <w:top w:val="single" w:sz="4" w:space="0" w:color="auto"/>
              <w:left w:val="nil"/>
              <w:bottom w:val="nil"/>
              <w:right w:val="nil"/>
            </w:tcBorders>
            <w:shd w:val="clear" w:color="auto" w:fill="auto"/>
            <w:noWrap/>
            <w:vAlign w:val="bottom"/>
            <w:hideMark/>
          </w:tcPr>
          <w:p w14:paraId="59114574"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06A24A36"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1B05AFA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single" w:sz="4" w:space="0" w:color="auto"/>
              <w:left w:val="nil"/>
              <w:bottom w:val="nil"/>
              <w:right w:val="nil"/>
            </w:tcBorders>
            <w:shd w:val="clear" w:color="auto" w:fill="auto"/>
            <w:noWrap/>
            <w:vAlign w:val="bottom"/>
            <w:hideMark/>
          </w:tcPr>
          <w:p w14:paraId="442FFEFE"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nil"/>
              <w:right w:val="nil"/>
            </w:tcBorders>
            <w:shd w:val="clear" w:color="auto" w:fill="auto"/>
            <w:noWrap/>
            <w:vAlign w:val="bottom"/>
            <w:hideMark/>
          </w:tcPr>
          <w:p w14:paraId="00563D01"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2.95</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076F03F7"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315,386 </w:t>
            </w:r>
          </w:p>
        </w:tc>
      </w:tr>
      <w:tr w:rsidR="00971A7A" w:rsidRPr="00971A7A" w14:paraId="57D02482"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689FC56B"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6210-Formal Education</w:t>
            </w:r>
          </w:p>
        </w:tc>
        <w:tc>
          <w:tcPr>
            <w:tcW w:w="1016" w:type="dxa"/>
            <w:gridSpan w:val="2"/>
            <w:tcBorders>
              <w:top w:val="nil"/>
              <w:left w:val="nil"/>
              <w:bottom w:val="nil"/>
              <w:right w:val="nil"/>
            </w:tcBorders>
            <w:shd w:val="clear" w:color="auto" w:fill="auto"/>
            <w:noWrap/>
            <w:vAlign w:val="bottom"/>
            <w:hideMark/>
          </w:tcPr>
          <w:p w14:paraId="54657FFF"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0.75</w:t>
            </w:r>
          </w:p>
        </w:tc>
        <w:tc>
          <w:tcPr>
            <w:tcW w:w="1232" w:type="dxa"/>
            <w:gridSpan w:val="2"/>
            <w:tcBorders>
              <w:top w:val="nil"/>
              <w:left w:val="nil"/>
              <w:bottom w:val="nil"/>
              <w:right w:val="nil"/>
            </w:tcBorders>
            <w:shd w:val="clear" w:color="auto" w:fill="auto"/>
            <w:noWrap/>
            <w:vAlign w:val="bottom"/>
            <w:hideMark/>
          </w:tcPr>
          <w:p w14:paraId="54EC4994"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89,570 </w:t>
            </w:r>
          </w:p>
        </w:tc>
        <w:tc>
          <w:tcPr>
            <w:tcW w:w="643" w:type="dxa"/>
            <w:gridSpan w:val="3"/>
            <w:tcBorders>
              <w:top w:val="nil"/>
              <w:left w:val="nil"/>
              <w:bottom w:val="nil"/>
              <w:right w:val="nil"/>
            </w:tcBorders>
            <w:shd w:val="clear" w:color="auto" w:fill="auto"/>
            <w:noWrap/>
            <w:vAlign w:val="bottom"/>
            <w:hideMark/>
          </w:tcPr>
          <w:p w14:paraId="07CF9AD8"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42740F69"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797FF8CC"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nil"/>
              <w:right w:val="nil"/>
            </w:tcBorders>
            <w:shd w:val="clear" w:color="auto" w:fill="auto"/>
            <w:noWrap/>
            <w:vAlign w:val="bottom"/>
            <w:hideMark/>
          </w:tcPr>
          <w:p w14:paraId="3D789927"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nil"/>
              <w:right w:val="nil"/>
            </w:tcBorders>
            <w:shd w:val="clear" w:color="auto" w:fill="auto"/>
            <w:noWrap/>
            <w:vAlign w:val="bottom"/>
            <w:hideMark/>
          </w:tcPr>
          <w:p w14:paraId="56984E80"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0.75</w:t>
            </w:r>
          </w:p>
        </w:tc>
        <w:tc>
          <w:tcPr>
            <w:tcW w:w="975" w:type="dxa"/>
            <w:gridSpan w:val="2"/>
            <w:tcBorders>
              <w:top w:val="nil"/>
              <w:left w:val="nil"/>
              <w:bottom w:val="nil"/>
              <w:right w:val="single" w:sz="4" w:space="0" w:color="auto"/>
            </w:tcBorders>
            <w:shd w:val="clear" w:color="auto" w:fill="auto"/>
            <w:noWrap/>
            <w:vAlign w:val="bottom"/>
            <w:hideMark/>
          </w:tcPr>
          <w:p w14:paraId="2C085C78"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89,570 </w:t>
            </w:r>
          </w:p>
        </w:tc>
      </w:tr>
      <w:tr w:rsidR="00971A7A" w:rsidRPr="00971A7A" w14:paraId="26A649FF"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671582EA"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6220-Informal Education</w:t>
            </w:r>
          </w:p>
        </w:tc>
        <w:tc>
          <w:tcPr>
            <w:tcW w:w="1016" w:type="dxa"/>
            <w:gridSpan w:val="2"/>
            <w:tcBorders>
              <w:top w:val="nil"/>
              <w:left w:val="nil"/>
              <w:bottom w:val="single" w:sz="4" w:space="0" w:color="auto"/>
              <w:right w:val="nil"/>
            </w:tcBorders>
            <w:shd w:val="clear" w:color="auto" w:fill="auto"/>
            <w:noWrap/>
            <w:vAlign w:val="bottom"/>
            <w:hideMark/>
          </w:tcPr>
          <w:p w14:paraId="3F4C363B"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2.2</w:t>
            </w:r>
          </w:p>
        </w:tc>
        <w:tc>
          <w:tcPr>
            <w:tcW w:w="1232" w:type="dxa"/>
            <w:gridSpan w:val="2"/>
            <w:tcBorders>
              <w:top w:val="nil"/>
              <w:left w:val="nil"/>
              <w:bottom w:val="single" w:sz="4" w:space="0" w:color="auto"/>
              <w:right w:val="nil"/>
            </w:tcBorders>
            <w:shd w:val="clear" w:color="auto" w:fill="auto"/>
            <w:noWrap/>
            <w:vAlign w:val="bottom"/>
            <w:hideMark/>
          </w:tcPr>
          <w:p w14:paraId="69C94C7F"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225,816 </w:t>
            </w:r>
          </w:p>
        </w:tc>
        <w:tc>
          <w:tcPr>
            <w:tcW w:w="643" w:type="dxa"/>
            <w:gridSpan w:val="3"/>
            <w:tcBorders>
              <w:top w:val="nil"/>
              <w:left w:val="nil"/>
              <w:bottom w:val="single" w:sz="4" w:space="0" w:color="auto"/>
              <w:right w:val="nil"/>
            </w:tcBorders>
            <w:shd w:val="clear" w:color="auto" w:fill="auto"/>
            <w:noWrap/>
            <w:vAlign w:val="bottom"/>
            <w:hideMark/>
          </w:tcPr>
          <w:p w14:paraId="6A88A6E2"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17772AE2"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51B4E077"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single" w:sz="4" w:space="0" w:color="auto"/>
              <w:right w:val="nil"/>
            </w:tcBorders>
            <w:shd w:val="clear" w:color="auto" w:fill="auto"/>
            <w:noWrap/>
            <w:vAlign w:val="bottom"/>
            <w:hideMark/>
          </w:tcPr>
          <w:p w14:paraId="23141032"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single" w:sz="4" w:space="0" w:color="auto"/>
              <w:right w:val="nil"/>
            </w:tcBorders>
            <w:shd w:val="clear" w:color="auto" w:fill="auto"/>
            <w:noWrap/>
            <w:vAlign w:val="bottom"/>
            <w:hideMark/>
          </w:tcPr>
          <w:p w14:paraId="53BE1545"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2.2</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3E42E05E"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225,816 </w:t>
            </w:r>
          </w:p>
        </w:tc>
      </w:tr>
      <w:tr w:rsidR="00971A7A" w:rsidRPr="00971A7A" w14:paraId="2DF3701E"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547178ED"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6300-Digital Learning &amp; Multimedia</w:t>
            </w:r>
          </w:p>
        </w:tc>
        <w:tc>
          <w:tcPr>
            <w:tcW w:w="1016" w:type="dxa"/>
            <w:gridSpan w:val="2"/>
            <w:tcBorders>
              <w:top w:val="single" w:sz="4" w:space="0" w:color="auto"/>
              <w:left w:val="nil"/>
              <w:bottom w:val="nil"/>
              <w:right w:val="nil"/>
            </w:tcBorders>
            <w:shd w:val="clear" w:color="auto" w:fill="auto"/>
            <w:noWrap/>
            <w:vAlign w:val="bottom"/>
            <w:hideMark/>
          </w:tcPr>
          <w:p w14:paraId="20390C44"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p>
        </w:tc>
        <w:tc>
          <w:tcPr>
            <w:tcW w:w="1232" w:type="dxa"/>
            <w:gridSpan w:val="2"/>
            <w:tcBorders>
              <w:top w:val="single" w:sz="4" w:space="0" w:color="auto"/>
              <w:left w:val="nil"/>
              <w:bottom w:val="nil"/>
              <w:right w:val="nil"/>
            </w:tcBorders>
            <w:shd w:val="clear" w:color="auto" w:fill="auto"/>
            <w:noWrap/>
            <w:vAlign w:val="bottom"/>
            <w:hideMark/>
          </w:tcPr>
          <w:p w14:paraId="47986352"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43" w:type="dxa"/>
            <w:gridSpan w:val="3"/>
            <w:tcBorders>
              <w:top w:val="single" w:sz="4" w:space="0" w:color="auto"/>
              <w:left w:val="nil"/>
              <w:bottom w:val="nil"/>
              <w:right w:val="nil"/>
            </w:tcBorders>
            <w:shd w:val="clear" w:color="auto" w:fill="auto"/>
            <w:noWrap/>
            <w:vAlign w:val="bottom"/>
            <w:hideMark/>
          </w:tcPr>
          <w:p w14:paraId="3C2719BB"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4312E5B6"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47035B99"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w:t>
            </w:r>
          </w:p>
        </w:tc>
        <w:tc>
          <w:tcPr>
            <w:tcW w:w="1008" w:type="dxa"/>
            <w:gridSpan w:val="5"/>
            <w:tcBorders>
              <w:top w:val="single" w:sz="4" w:space="0" w:color="auto"/>
              <w:left w:val="nil"/>
              <w:bottom w:val="nil"/>
              <w:right w:val="nil"/>
            </w:tcBorders>
            <w:shd w:val="clear" w:color="auto" w:fill="auto"/>
            <w:noWrap/>
            <w:vAlign w:val="bottom"/>
            <w:hideMark/>
          </w:tcPr>
          <w:p w14:paraId="66DDC64F"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79,980 </w:t>
            </w:r>
          </w:p>
        </w:tc>
        <w:tc>
          <w:tcPr>
            <w:tcW w:w="665" w:type="dxa"/>
            <w:gridSpan w:val="3"/>
            <w:tcBorders>
              <w:top w:val="single" w:sz="4" w:space="0" w:color="auto"/>
              <w:left w:val="nil"/>
              <w:bottom w:val="nil"/>
              <w:right w:val="nil"/>
            </w:tcBorders>
            <w:shd w:val="clear" w:color="auto" w:fill="auto"/>
            <w:noWrap/>
            <w:vAlign w:val="bottom"/>
            <w:hideMark/>
          </w:tcPr>
          <w:p w14:paraId="650DBAB6"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5AC0B52D"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79,980 </w:t>
            </w:r>
          </w:p>
        </w:tc>
      </w:tr>
      <w:tr w:rsidR="00971A7A" w:rsidRPr="00971A7A" w14:paraId="1E0B8054"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6F20F088"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6350-Web/Apps Development</w:t>
            </w:r>
          </w:p>
        </w:tc>
        <w:tc>
          <w:tcPr>
            <w:tcW w:w="1016" w:type="dxa"/>
            <w:gridSpan w:val="2"/>
            <w:tcBorders>
              <w:top w:val="nil"/>
              <w:left w:val="nil"/>
              <w:bottom w:val="single" w:sz="4" w:space="0" w:color="auto"/>
              <w:right w:val="nil"/>
            </w:tcBorders>
            <w:shd w:val="clear" w:color="auto" w:fill="auto"/>
            <w:noWrap/>
            <w:vAlign w:val="bottom"/>
            <w:hideMark/>
          </w:tcPr>
          <w:p w14:paraId="5DB8961A"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p>
        </w:tc>
        <w:tc>
          <w:tcPr>
            <w:tcW w:w="1232" w:type="dxa"/>
            <w:gridSpan w:val="2"/>
            <w:tcBorders>
              <w:top w:val="nil"/>
              <w:left w:val="nil"/>
              <w:bottom w:val="single" w:sz="4" w:space="0" w:color="auto"/>
              <w:right w:val="nil"/>
            </w:tcBorders>
            <w:shd w:val="clear" w:color="auto" w:fill="auto"/>
            <w:noWrap/>
            <w:vAlign w:val="bottom"/>
            <w:hideMark/>
          </w:tcPr>
          <w:p w14:paraId="0D6357AA"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43" w:type="dxa"/>
            <w:gridSpan w:val="3"/>
            <w:tcBorders>
              <w:top w:val="nil"/>
              <w:left w:val="nil"/>
              <w:bottom w:val="single" w:sz="4" w:space="0" w:color="auto"/>
              <w:right w:val="nil"/>
            </w:tcBorders>
            <w:shd w:val="clear" w:color="auto" w:fill="auto"/>
            <w:noWrap/>
            <w:vAlign w:val="bottom"/>
            <w:hideMark/>
          </w:tcPr>
          <w:p w14:paraId="3726BDAB"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644729B4"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1917BD67"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w:t>
            </w:r>
          </w:p>
        </w:tc>
        <w:tc>
          <w:tcPr>
            <w:tcW w:w="1008" w:type="dxa"/>
            <w:gridSpan w:val="5"/>
            <w:tcBorders>
              <w:top w:val="nil"/>
              <w:left w:val="nil"/>
              <w:bottom w:val="single" w:sz="4" w:space="0" w:color="auto"/>
              <w:right w:val="nil"/>
            </w:tcBorders>
            <w:shd w:val="clear" w:color="auto" w:fill="auto"/>
            <w:noWrap/>
            <w:vAlign w:val="bottom"/>
            <w:hideMark/>
          </w:tcPr>
          <w:p w14:paraId="3EC9D82F"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79,980 </w:t>
            </w:r>
          </w:p>
        </w:tc>
        <w:tc>
          <w:tcPr>
            <w:tcW w:w="665" w:type="dxa"/>
            <w:gridSpan w:val="3"/>
            <w:tcBorders>
              <w:top w:val="nil"/>
              <w:left w:val="nil"/>
              <w:bottom w:val="single" w:sz="4" w:space="0" w:color="auto"/>
              <w:right w:val="nil"/>
            </w:tcBorders>
            <w:shd w:val="clear" w:color="auto" w:fill="auto"/>
            <w:noWrap/>
            <w:vAlign w:val="bottom"/>
            <w:hideMark/>
          </w:tcPr>
          <w:p w14:paraId="60774CA7"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1</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5BC48ABE"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79,980 </w:t>
            </w:r>
          </w:p>
        </w:tc>
      </w:tr>
      <w:tr w:rsidR="00971A7A" w:rsidRPr="00971A7A" w14:paraId="61CD09CA"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3A46E02C"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6400-Visitor Center Operations</w:t>
            </w:r>
          </w:p>
        </w:tc>
        <w:tc>
          <w:tcPr>
            <w:tcW w:w="1016" w:type="dxa"/>
            <w:gridSpan w:val="2"/>
            <w:tcBorders>
              <w:top w:val="single" w:sz="4" w:space="0" w:color="auto"/>
              <w:left w:val="nil"/>
              <w:bottom w:val="nil"/>
              <w:right w:val="nil"/>
            </w:tcBorders>
            <w:shd w:val="clear" w:color="auto" w:fill="auto"/>
            <w:noWrap/>
            <w:vAlign w:val="bottom"/>
            <w:hideMark/>
          </w:tcPr>
          <w:p w14:paraId="4C12C0AA"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3.05</w:t>
            </w:r>
          </w:p>
        </w:tc>
        <w:tc>
          <w:tcPr>
            <w:tcW w:w="1232" w:type="dxa"/>
            <w:gridSpan w:val="2"/>
            <w:tcBorders>
              <w:top w:val="single" w:sz="4" w:space="0" w:color="auto"/>
              <w:left w:val="nil"/>
              <w:bottom w:val="nil"/>
              <w:right w:val="nil"/>
            </w:tcBorders>
            <w:shd w:val="clear" w:color="auto" w:fill="auto"/>
            <w:noWrap/>
            <w:vAlign w:val="bottom"/>
            <w:hideMark/>
          </w:tcPr>
          <w:p w14:paraId="06761AF2"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188,677 </w:t>
            </w:r>
          </w:p>
        </w:tc>
        <w:tc>
          <w:tcPr>
            <w:tcW w:w="643" w:type="dxa"/>
            <w:gridSpan w:val="3"/>
            <w:tcBorders>
              <w:top w:val="single" w:sz="4" w:space="0" w:color="auto"/>
              <w:left w:val="nil"/>
              <w:bottom w:val="nil"/>
              <w:right w:val="nil"/>
            </w:tcBorders>
            <w:shd w:val="clear" w:color="auto" w:fill="auto"/>
            <w:noWrap/>
            <w:vAlign w:val="bottom"/>
            <w:hideMark/>
          </w:tcPr>
          <w:p w14:paraId="7BF45994"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681D6E49"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4C1CD989"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single" w:sz="4" w:space="0" w:color="auto"/>
              <w:left w:val="nil"/>
              <w:bottom w:val="nil"/>
              <w:right w:val="nil"/>
            </w:tcBorders>
            <w:shd w:val="clear" w:color="auto" w:fill="auto"/>
            <w:noWrap/>
            <w:vAlign w:val="bottom"/>
            <w:hideMark/>
          </w:tcPr>
          <w:p w14:paraId="09D22FA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nil"/>
              <w:right w:val="nil"/>
            </w:tcBorders>
            <w:shd w:val="clear" w:color="auto" w:fill="auto"/>
            <w:noWrap/>
            <w:vAlign w:val="bottom"/>
            <w:hideMark/>
          </w:tcPr>
          <w:p w14:paraId="5F7A7C5F"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3.05</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79022186"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188,677 </w:t>
            </w:r>
          </w:p>
        </w:tc>
      </w:tr>
      <w:tr w:rsidR="00971A7A" w:rsidRPr="00971A7A" w14:paraId="681B6658"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11FD6AD2"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6410-Guided Tours Operations</w:t>
            </w:r>
          </w:p>
        </w:tc>
        <w:tc>
          <w:tcPr>
            <w:tcW w:w="1016" w:type="dxa"/>
            <w:gridSpan w:val="2"/>
            <w:tcBorders>
              <w:top w:val="nil"/>
              <w:left w:val="nil"/>
              <w:bottom w:val="nil"/>
              <w:right w:val="nil"/>
            </w:tcBorders>
            <w:shd w:val="clear" w:color="auto" w:fill="auto"/>
            <w:noWrap/>
            <w:vAlign w:val="bottom"/>
            <w:hideMark/>
          </w:tcPr>
          <w:p w14:paraId="41F7A500"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2.55</w:t>
            </w:r>
          </w:p>
        </w:tc>
        <w:tc>
          <w:tcPr>
            <w:tcW w:w="1232" w:type="dxa"/>
            <w:gridSpan w:val="2"/>
            <w:tcBorders>
              <w:top w:val="nil"/>
              <w:left w:val="nil"/>
              <w:bottom w:val="nil"/>
              <w:right w:val="nil"/>
            </w:tcBorders>
            <w:shd w:val="clear" w:color="auto" w:fill="auto"/>
            <w:noWrap/>
            <w:vAlign w:val="bottom"/>
            <w:hideMark/>
          </w:tcPr>
          <w:p w14:paraId="5481B901"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104,691 </w:t>
            </w:r>
          </w:p>
        </w:tc>
        <w:tc>
          <w:tcPr>
            <w:tcW w:w="643" w:type="dxa"/>
            <w:gridSpan w:val="3"/>
            <w:tcBorders>
              <w:top w:val="nil"/>
              <w:left w:val="nil"/>
              <w:bottom w:val="nil"/>
              <w:right w:val="nil"/>
            </w:tcBorders>
            <w:shd w:val="clear" w:color="auto" w:fill="auto"/>
            <w:noWrap/>
            <w:vAlign w:val="bottom"/>
            <w:hideMark/>
          </w:tcPr>
          <w:p w14:paraId="0FA34A8F"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067018B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1570998B"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nil"/>
              <w:right w:val="nil"/>
            </w:tcBorders>
            <w:shd w:val="clear" w:color="auto" w:fill="auto"/>
            <w:noWrap/>
            <w:vAlign w:val="bottom"/>
            <w:hideMark/>
          </w:tcPr>
          <w:p w14:paraId="1BBF2F68"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nil"/>
              <w:right w:val="nil"/>
            </w:tcBorders>
            <w:shd w:val="clear" w:color="auto" w:fill="auto"/>
            <w:noWrap/>
            <w:vAlign w:val="bottom"/>
            <w:hideMark/>
          </w:tcPr>
          <w:p w14:paraId="108A6E51"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2.55</w:t>
            </w:r>
          </w:p>
        </w:tc>
        <w:tc>
          <w:tcPr>
            <w:tcW w:w="975" w:type="dxa"/>
            <w:gridSpan w:val="2"/>
            <w:tcBorders>
              <w:top w:val="nil"/>
              <w:left w:val="nil"/>
              <w:bottom w:val="nil"/>
              <w:right w:val="single" w:sz="4" w:space="0" w:color="auto"/>
            </w:tcBorders>
            <w:shd w:val="clear" w:color="auto" w:fill="auto"/>
            <w:noWrap/>
            <w:vAlign w:val="bottom"/>
            <w:hideMark/>
          </w:tcPr>
          <w:p w14:paraId="29B6E27C"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104,691 </w:t>
            </w:r>
          </w:p>
        </w:tc>
      </w:tr>
      <w:tr w:rsidR="00971A7A" w:rsidRPr="00971A7A" w14:paraId="272EA11D" w14:textId="77777777" w:rsidTr="009924E1">
        <w:trPr>
          <w:gridAfter w:val="1"/>
          <w:wAfter w:w="130" w:type="dxa"/>
          <w:trHeight w:val="300"/>
        </w:trPr>
        <w:tc>
          <w:tcPr>
            <w:tcW w:w="2520" w:type="dxa"/>
            <w:tcBorders>
              <w:top w:val="nil"/>
              <w:left w:val="single" w:sz="4" w:space="0" w:color="auto"/>
              <w:bottom w:val="nil"/>
              <w:right w:val="nil"/>
            </w:tcBorders>
            <w:shd w:val="clear" w:color="auto" w:fill="auto"/>
            <w:noWrap/>
            <w:vAlign w:val="bottom"/>
            <w:hideMark/>
          </w:tcPr>
          <w:p w14:paraId="7E3219C1"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6420-Exhibits Maintenance</w:t>
            </w:r>
          </w:p>
        </w:tc>
        <w:tc>
          <w:tcPr>
            <w:tcW w:w="1016" w:type="dxa"/>
            <w:gridSpan w:val="2"/>
            <w:tcBorders>
              <w:top w:val="nil"/>
              <w:left w:val="nil"/>
              <w:bottom w:val="nil"/>
              <w:right w:val="nil"/>
            </w:tcBorders>
            <w:shd w:val="clear" w:color="auto" w:fill="auto"/>
            <w:noWrap/>
            <w:vAlign w:val="bottom"/>
            <w:hideMark/>
          </w:tcPr>
          <w:p w14:paraId="6312EE82"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1232" w:type="dxa"/>
            <w:gridSpan w:val="2"/>
            <w:tcBorders>
              <w:top w:val="nil"/>
              <w:left w:val="nil"/>
              <w:bottom w:val="nil"/>
              <w:right w:val="nil"/>
            </w:tcBorders>
            <w:shd w:val="clear" w:color="auto" w:fill="auto"/>
            <w:noWrap/>
            <w:vAlign w:val="bottom"/>
            <w:hideMark/>
          </w:tcPr>
          <w:p w14:paraId="6854D28E"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5,353 </w:t>
            </w:r>
          </w:p>
        </w:tc>
        <w:tc>
          <w:tcPr>
            <w:tcW w:w="643" w:type="dxa"/>
            <w:gridSpan w:val="3"/>
            <w:tcBorders>
              <w:top w:val="nil"/>
              <w:left w:val="nil"/>
              <w:bottom w:val="nil"/>
              <w:right w:val="nil"/>
            </w:tcBorders>
            <w:shd w:val="clear" w:color="auto" w:fill="auto"/>
            <w:noWrap/>
            <w:vAlign w:val="bottom"/>
            <w:hideMark/>
          </w:tcPr>
          <w:p w14:paraId="191E8FEB"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nil"/>
              <w:right w:val="nil"/>
            </w:tcBorders>
            <w:shd w:val="clear" w:color="auto" w:fill="auto"/>
            <w:noWrap/>
            <w:vAlign w:val="bottom"/>
            <w:hideMark/>
          </w:tcPr>
          <w:p w14:paraId="4483E74A"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nil"/>
              <w:right w:val="nil"/>
            </w:tcBorders>
            <w:shd w:val="clear" w:color="auto" w:fill="auto"/>
            <w:noWrap/>
            <w:vAlign w:val="bottom"/>
            <w:hideMark/>
          </w:tcPr>
          <w:p w14:paraId="134CCF36"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nil"/>
              <w:right w:val="nil"/>
            </w:tcBorders>
            <w:shd w:val="clear" w:color="auto" w:fill="auto"/>
            <w:noWrap/>
            <w:vAlign w:val="bottom"/>
            <w:hideMark/>
          </w:tcPr>
          <w:p w14:paraId="04B60F7B"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nil"/>
              <w:right w:val="nil"/>
            </w:tcBorders>
            <w:shd w:val="clear" w:color="auto" w:fill="auto"/>
            <w:noWrap/>
            <w:vAlign w:val="bottom"/>
            <w:hideMark/>
          </w:tcPr>
          <w:p w14:paraId="577C9263"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w:t>
            </w:r>
          </w:p>
        </w:tc>
        <w:tc>
          <w:tcPr>
            <w:tcW w:w="975" w:type="dxa"/>
            <w:gridSpan w:val="2"/>
            <w:tcBorders>
              <w:top w:val="nil"/>
              <w:left w:val="nil"/>
              <w:bottom w:val="nil"/>
              <w:right w:val="single" w:sz="4" w:space="0" w:color="auto"/>
            </w:tcBorders>
            <w:shd w:val="clear" w:color="auto" w:fill="auto"/>
            <w:noWrap/>
            <w:vAlign w:val="bottom"/>
            <w:hideMark/>
          </w:tcPr>
          <w:p w14:paraId="6108BC5A"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5,353 </w:t>
            </w:r>
          </w:p>
        </w:tc>
      </w:tr>
      <w:tr w:rsidR="00971A7A" w:rsidRPr="00971A7A" w14:paraId="3A9464E9"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42E795E6"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6430-Community Engagement</w:t>
            </w:r>
          </w:p>
        </w:tc>
        <w:tc>
          <w:tcPr>
            <w:tcW w:w="1016" w:type="dxa"/>
            <w:gridSpan w:val="2"/>
            <w:tcBorders>
              <w:top w:val="nil"/>
              <w:left w:val="nil"/>
              <w:bottom w:val="single" w:sz="4" w:space="0" w:color="auto"/>
              <w:right w:val="nil"/>
            </w:tcBorders>
            <w:shd w:val="clear" w:color="auto" w:fill="auto"/>
            <w:noWrap/>
            <w:vAlign w:val="bottom"/>
            <w:hideMark/>
          </w:tcPr>
          <w:p w14:paraId="496E7384"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0.5</w:t>
            </w:r>
          </w:p>
        </w:tc>
        <w:tc>
          <w:tcPr>
            <w:tcW w:w="1232" w:type="dxa"/>
            <w:gridSpan w:val="2"/>
            <w:tcBorders>
              <w:top w:val="nil"/>
              <w:left w:val="nil"/>
              <w:bottom w:val="single" w:sz="4" w:space="0" w:color="auto"/>
              <w:right w:val="nil"/>
            </w:tcBorders>
            <w:shd w:val="clear" w:color="auto" w:fill="auto"/>
            <w:noWrap/>
            <w:vAlign w:val="bottom"/>
            <w:hideMark/>
          </w:tcPr>
          <w:p w14:paraId="2D527C6D"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78,634 </w:t>
            </w:r>
          </w:p>
        </w:tc>
        <w:tc>
          <w:tcPr>
            <w:tcW w:w="643" w:type="dxa"/>
            <w:gridSpan w:val="3"/>
            <w:tcBorders>
              <w:top w:val="nil"/>
              <w:left w:val="nil"/>
              <w:bottom w:val="single" w:sz="4" w:space="0" w:color="auto"/>
              <w:right w:val="nil"/>
            </w:tcBorders>
            <w:shd w:val="clear" w:color="auto" w:fill="auto"/>
            <w:noWrap/>
            <w:vAlign w:val="bottom"/>
            <w:hideMark/>
          </w:tcPr>
          <w:p w14:paraId="507C2389"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456C129D"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5E12F4B0"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single" w:sz="4" w:space="0" w:color="auto"/>
              <w:right w:val="nil"/>
            </w:tcBorders>
            <w:shd w:val="clear" w:color="auto" w:fill="auto"/>
            <w:noWrap/>
            <w:vAlign w:val="bottom"/>
            <w:hideMark/>
          </w:tcPr>
          <w:p w14:paraId="1841F41C"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single" w:sz="4" w:space="0" w:color="auto"/>
              <w:right w:val="nil"/>
            </w:tcBorders>
            <w:shd w:val="clear" w:color="auto" w:fill="auto"/>
            <w:noWrap/>
            <w:vAlign w:val="bottom"/>
            <w:hideMark/>
          </w:tcPr>
          <w:p w14:paraId="353E866D"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0.5</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3AB7DC8A"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78,634 </w:t>
            </w:r>
          </w:p>
        </w:tc>
      </w:tr>
      <w:tr w:rsidR="00971A7A" w:rsidRPr="00971A7A" w14:paraId="612354BB" w14:textId="77777777" w:rsidTr="009924E1">
        <w:trPr>
          <w:gridAfter w:val="1"/>
          <w:wAfter w:w="130" w:type="dxa"/>
          <w:trHeight w:val="300"/>
        </w:trPr>
        <w:tc>
          <w:tcPr>
            <w:tcW w:w="2520" w:type="dxa"/>
            <w:tcBorders>
              <w:top w:val="single" w:sz="4" w:space="0" w:color="auto"/>
              <w:left w:val="single" w:sz="4" w:space="0" w:color="auto"/>
              <w:bottom w:val="nil"/>
              <w:right w:val="nil"/>
            </w:tcBorders>
            <w:shd w:val="clear" w:color="auto" w:fill="auto"/>
            <w:noWrap/>
            <w:vAlign w:val="bottom"/>
            <w:hideMark/>
          </w:tcPr>
          <w:p w14:paraId="69F0231F" w14:textId="77777777" w:rsidR="00971A7A" w:rsidRPr="00971A7A" w:rsidRDefault="00971A7A" w:rsidP="00971A7A">
            <w:pPr>
              <w:spacing w:after="0" w:line="240" w:lineRule="auto"/>
              <w:ind w:firstLineChars="100" w:firstLine="161"/>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6500-EPO Management</w:t>
            </w:r>
          </w:p>
        </w:tc>
        <w:tc>
          <w:tcPr>
            <w:tcW w:w="1016" w:type="dxa"/>
            <w:gridSpan w:val="2"/>
            <w:tcBorders>
              <w:top w:val="single" w:sz="4" w:space="0" w:color="auto"/>
              <w:left w:val="nil"/>
              <w:bottom w:val="nil"/>
              <w:right w:val="nil"/>
            </w:tcBorders>
            <w:shd w:val="clear" w:color="auto" w:fill="auto"/>
            <w:noWrap/>
            <w:vAlign w:val="bottom"/>
            <w:hideMark/>
          </w:tcPr>
          <w:p w14:paraId="3C804C5B"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0.45</w:t>
            </w:r>
          </w:p>
        </w:tc>
        <w:tc>
          <w:tcPr>
            <w:tcW w:w="1232" w:type="dxa"/>
            <w:gridSpan w:val="2"/>
            <w:tcBorders>
              <w:top w:val="single" w:sz="4" w:space="0" w:color="auto"/>
              <w:left w:val="nil"/>
              <w:bottom w:val="nil"/>
              <w:right w:val="nil"/>
            </w:tcBorders>
            <w:shd w:val="clear" w:color="auto" w:fill="auto"/>
            <w:noWrap/>
            <w:vAlign w:val="bottom"/>
            <w:hideMark/>
          </w:tcPr>
          <w:p w14:paraId="20FE0EB6"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33,604 </w:t>
            </w:r>
          </w:p>
        </w:tc>
        <w:tc>
          <w:tcPr>
            <w:tcW w:w="643" w:type="dxa"/>
            <w:gridSpan w:val="3"/>
            <w:tcBorders>
              <w:top w:val="single" w:sz="4" w:space="0" w:color="auto"/>
              <w:left w:val="nil"/>
              <w:bottom w:val="nil"/>
              <w:right w:val="nil"/>
            </w:tcBorders>
            <w:shd w:val="clear" w:color="auto" w:fill="auto"/>
            <w:noWrap/>
            <w:vAlign w:val="bottom"/>
            <w:hideMark/>
          </w:tcPr>
          <w:p w14:paraId="4D8712D0"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p>
        </w:tc>
        <w:tc>
          <w:tcPr>
            <w:tcW w:w="987" w:type="dxa"/>
            <w:gridSpan w:val="4"/>
            <w:tcBorders>
              <w:top w:val="single" w:sz="4" w:space="0" w:color="auto"/>
              <w:left w:val="nil"/>
              <w:bottom w:val="nil"/>
              <w:right w:val="nil"/>
            </w:tcBorders>
            <w:shd w:val="clear" w:color="auto" w:fill="auto"/>
            <w:noWrap/>
            <w:vAlign w:val="bottom"/>
            <w:hideMark/>
          </w:tcPr>
          <w:p w14:paraId="51E9A654"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single" w:sz="4" w:space="0" w:color="auto"/>
              <w:left w:val="nil"/>
              <w:bottom w:val="nil"/>
              <w:right w:val="nil"/>
            </w:tcBorders>
            <w:shd w:val="clear" w:color="auto" w:fill="auto"/>
            <w:noWrap/>
            <w:vAlign w:val="bottom"/>
            <w:hideMark/>
          </w:tcPr>
          <w:p w14:paraId="0B9ECC85"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single" w:sz="4" w:space="0" w:color="auto"/>
              <w:left w:val="nil"/>
              <w:bottom w:val="nil"/>
              <w:right w:val="nil"/>
            </w:tcBorders>
            <w:shd w:val="clear" w:color="auto" w:fill="auto"/>
            <w:noWrap/>
            <w:vAlign w:val="bottom"/>
            <w:hideMark/>
          </w:tcPr>
          <w:p w14:paraId="6618C249"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single" w:sz="4" w:space="0" w:color="auto"/>
              <w:left w:val="nil"/>
              <w:bottom w:val="nil"/>
              <w:right w:val="nil"/>
            </w:tcBorders>
            <w:shd w:val="clear" w:color="auto" w:fill="auto"/>
            <w:noWrap/>
            <w:vAlign w:val="bottom"/>
            <w:hideMark/>
          </w:tcPr>
          <w:p w14:paraId="5EE25EA8"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0.45</w:t>
            </w:r>
          </w:p>
        </w:tc>
        <w:tc>
          <w:tcPr>
            <w:tcW w:w="975" w:type="dxa"/>
            <w:gridSpan w:val="2"/>
            <w:tcBorders>
              <w:top w:val="single" w:sz="4" w:space="0" w:color="auto"/>
              <w:left w:val="nil"/>
              <w:bottom w:val="nil"/>
              <w:right w:val="single" w:sz="4" w:space="0" w:color="auto"/>
            </w:tcBorders>
            <w:shd w:val="clear" w:color="auto" w:fill="auto"/>
            <w:noWrap/>
            <w:vAlign w:val="bottom"/>
            <w:hideMark/>
          </w:tcPr>
          <w:p w14:paraId="2D5641B4"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33,604 </w:t>
            </w:r>
          </w:p>
        </w:tc>
      </w:tr>
      <w:tr w:rsidR="00971A7A" w:rsidRPr="00971A7A" w14:paraId="751FBAC7" w14:textId="77777777" w:rsidTr="009924E1">
        <w:trPr>
          <w:gridAfter w:val="1"/>
          <w:wAfter w:w="130" w:type="dxa"/>
          <w:trHeight w:val="300"/>
        </w:trPr>
        <w:tc>
          <w:tcPr>
            <w:tcW w:w="2520" w:type="dxa"/>
            <w:tcBorders>
              <w:top w:val="nil"/>
              <w:left w:val="single" w:sz="4" w:space="0" w:color="auto"/>
              <w:bottom w:val="single" w:sz="4" w:space="0" w:color="auto"/>
              <w:right w:val="nil"/>
            </w:tcBorders>
            <w:shd w:val="clear" w:color="auto" w:fill="auto"/>
            <w:noWrap/>
            <w:vAlign w:val="bottom"/>
            <w:hideMark/>
          </w:tcPr>
          <w:p w14:paraId="23766892" w14:textId="77777777" w:rsidR="00971A7A" w:rsidRPr="00971A7A" w:rsidRDefault="00971A7A" w:rsidP="00971A7A">
            <w:pPr>
              <w:spacing w:after="0" w:line="240" w:lineRule="auto"/>
              <w:ind w:firstLineChars="200" w:firstLine="320"/>
              <w:jc w:val="left"/>
              <w:rPr>
                <w:rFonts w:ascii="Calibri" w:eastAsia="Times New Roman" w:hAnsi="Calibri" w:cs="Calibri"/>
                <w:color w:val="000000"/>
                <w:sz w:val="16"/>
                <w:szCs w:val="16"/>
              </w:rPr>
            </w:pPr>
            <w:r w:rsidRPr="00971A7A">
              <w:rPr>
                <w:rFonts w:ascii="Calibri" w:eastAsia="Times New Roman" w:hAnsi="Calibri" w:cs="Calibri"/>
                <w:color w:val="000000"/>
                <w:sz w:val="16"/>
                <w:szCs w:val="16"/>
              </w:rPr>
              <w:t>6510-Administration</w:t>
            </w:r>
          </w:p>
        </w:tc>
        <w:tc>
          <w:tcPr>
            <w:tcW w:w="1016" w:type="dxa"/>
            <w:gridSpan w:val="2"/>
            <w:tcBorders>
              <w:top w:val="nil"/>
              <w:left w:val="nil"/>
              <w:bottom w:val="single" w:sz="4" w:space="0" w:color="auto"/>
              <w:right w:val="nil"/>
            </w:tcBorders>
            <w:shd w:val="clear" w:color="auto" w:fill="auto"/>
            <w:noWrap/>
            <w:vAlign w:val="bottom"/>
            <w:hideMark/>
          </w:tcPr>
          <w:p w14:paraId="10966C54"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0.45</w:t>
            </w:r>
          </w:p>
        </w:tc>
        <w:tc>
          <w:tcPr>
            <w:tcW w:w="1232" w:type="dxa"/>
            <w:gridSpan w:val="2"/>
            <w:tcBorders>
              <w:top w:val="nil"/>
              <w:left w:val="nil"/>
              <w:bottom w:val="single" w:sz="4" w:space="0" w:color="auto"/>
              <w:right w:val="nil"/>
            </w:tcBorders>
            <w:shd w:val="clear" w:color="auto" w:fill="auto"/>
            <w:noWrap/>
            <w:vAlign w:val="bottom"/>
            <w:hideMark/>
          </w:tcPr>
          <w:p w14:paraId="75C68A56"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33,604 </w:t>
            </w:r>
          </w:p>
        </w:tc>
        <w:tc>
          <w:tcPr>
            <w:tcW w:w="643" w:type="dxa"/>
            <w:gridSpan w:val="3"/>
            <w:tcBorders>
              <w:top w:val="nil"/>
              <w:left w:val="nil"/>
              <w:bottom w:val="single" w:sz="4" w:space="0" w:color="auto"/>
              <w:right w:val="nil"/>
            </w:tcBorders>
            <w:shd w:val="clear" w:color="auto" w:fill="auto"/>
            <w:noWrap/>
            <w:vAlign w:val="bottom"/>
            <w:hideMark/>
          </w:tcPr>
          <w:p w14:paraId="5CB5EB71" w14:textId="77777777" w:rsidR="00971A7A" w:rsidRPr="00971A7A" w:rsidRDefault="00971A7A" w:rsidP="00971A7A">
            <w:pPr>
              <w:spacing w:after="0" w:line="240" w:lineRule="auto"/>
              <w:jc w:val="right"/>
              <w:rPr>
                <w:rFonts w:ascii="Calibri" w:eastAsia="Times New Roman" w:hAnsi="Calibri" w:cs="Calibri"/>
                <w:color w:val="000000"/>
                <w:sz w:val="16"/>
                <w:szCs w:val="16"/>
              </w:rPr>
            </w:pPr>
          </w:p>
        </w:tc>
        <w:tc>
          <w:tcPr>
            <w:tcW w:w="987" w:type="dxa"/>
            <w:gridSpan w:val="4"/>
            <w:tcBorders>
              <w:top w:val="nil"/>
              <w:left w:val="nil"/>
              <w:bottom w:val="single" w:sz="4" w:space="0" w:color="auto"/>
              <w:right w:val="nil"/>
            </w:tcBorders>
            <w:shd w:val="clear" w:color="auto" w:fill="auto"/>
            <w:noWrap/>
            <w:vAlign w:val="bottom"/>
            <w:hideMark/>
          </w:tcPr>
          <w:p w14:paraId="4A1644F6"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489" w:type="dxa"/>
            <w:gridSpan w:val="2"/>
            <w:tcBorders>
              <w:top w:val="nil"/>
              <w:left w:val="nil"/>
              <w:bottom w:val="single" w:sz="4" w:space="0" w:color="auto"/>
              <w:right w:val="nil"/>
            </w:tcBorders>
            <w:shd w:val="clear" w:color="auto" w:fill="auto"/>
            <w:noWrap/>
            <w:vAlign w:val="bottom"/>
            <w:hideMark/>
          </w:tcPr>
          <w:p w14:paraId="53607552"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1008" w:type="dxa"/>
            <w:gridSpan w:val="5"/>
            <w:tcBorders>
              <w:top w:val="nil"/>
              <w:left w:val="nil"/>
              <w:bottom w:val="single" w:sz="4" w:space="0" w:color="auto"/>
              <w:right w:val="nil"/>
            </w:tcBorders>
            <w:shd w:val="clear" w:color="auto" w:fill="auto"/>
            <w:noWrap/>
            <w:vAlign w:val="bottom"/>
            <w:hideMark/>
          </w:tcPr>
          <w:p w14:paraId="3681B078" w14:textId="77777777" w:rsidR="00971A7A" w:rsidRPr="00971A7A" w:rsidRDefault="00971A7A" w:rsidP="00971A7A">
            <w:pPr>
              <w:spacing w:after="0" w:line="240" w:lineRule="auto"/>
              <w:jc w:val="left"/>
              <w:rPr>
                <w:rFonts w:ascii="Times New Roman" w:eastAsia="Times New Roman" w:hAnsi="Times New Roman" w:cs="Times New Roman"/>
                <w:sz w:val="16"/>
                <w:szCs w:val="16"/>
              </w:rPr>
            </w:pPr>
          </w:p>
        </w:tc>
        <w:tc>
          <w:tcPr>
            <w:tcW w:w="665" w:type="dxa"/>
            <w:gridSpan w:val="3"/>
            <w:tcBorders>
              <w:top w:val="nil"/>
              <w:left w:val="nil"/>
              <w:bottom w:val="single" w:sz="4" w:space="0" w:color="auto"/>
              <w:right w:val="nil"/>
            </w:tcBorders>
            <w:shd w:val="clear" w:color="auto" w:fill="auto"/>
            <w:noWrap/>
            <w:vAlign w:val="bottom"/>
            <w:hideMark/>
          </w:tcPr>
          <w:p w14:paraId="285BB1BA"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0.45</w:t>
            </w:r>
          </w:p>
        </w:tc>
        <w:tc>
          <w:tcPr>
            <w:tcW w:w="975" w:type="dxa"/>
            <w:gridSpan w:val="2"/>
            <w:tcBorders>
              <w:top w:val="nil"/>
              <w:left w:val="nil"/>
              <w:bottom w:val="single" w:sz="4" w:space="0" w:color="auto"/>
              <w:right w:val="single" w:sz="4" w:space="0" w:color="auto"/>
            </w:tcBorders>
            <w:shd w:val="clear" w:color="auto" w:fill="auto"/>
            <w:noWrap/>
            <w:vAlign w:val="bottom"/>
            <w:hideMark/>
          </w:tcPr>
          <w:p w14:paraId="60BE0702" w14:textId="77777777" w:rsidR="00971A7A" w:rsidRPr="00971A7A" w:rsidRDefault="00971A7A" w:rsidP="00971A7A">
            <w:pPr>
              <w:spacing w:after="0" w:line="240" w:lineRule="auto"/>
              <w:jc w:val="right"/>
              <w:rPr>
                <w:rFonts w:ascii="Calibri" w:eastAsia="Times New Roman" w:hAnsi="Calibri" w:cs="Calibri"/>
                <w:color w:val="000000"/>
                <w:sz w:val="16"/>
                <w:szCs w:val="16"/>
              </w:rPr>
            </w:pPr>
            <w:r w:rsidRPr="00971A7A">
              <w:rPr>
                <w:rFonts w:ascii="Calibri" w:eastAsia="Times New Roman" w:hAnsi="Calibri" w:cs="Calibri"/>
                <w:color w:val="000000"/>
                <w:sz w:val="16"/>
                <w:szCs w:val="16"/>
              </w:rPr>
              <w:t xml:space="preserve">33,604 </w:t>
            </w:r>
          </w:p>
        </w:tc>
      </w:tr>
      <w:tr w:rsidR="00971A7A" w:rsidRPr="00971A7A" w14:paraId="7F506BDC" w14:textId="77777777" w:rsidTr="009924E1">
        <w:trPr>
          <w:gridAfter w:val="1"/>
          <w:wAfter w:w="130" w:type="dxa"/>
          <w:trHeight w:val="300"/>
        </w:trPr>
        <w:tc>
          <w:tcPr>
            <w:tcW w:w="2520" w:type="dxa"/>
            <w:tcBorders>
              <w:top w:val="single" w:sz="4" w:space="0" w:color="auto"/>
              <w:left w:val="single" w:sz="4" w:space="0" w:color="auto"/>
              <w:bottom w:val="single" w:sz="4" w:space="0" w:color="auto"/>
              <w:right w:val="nil"/>
            </w:tcBorders>
            <w:shd w:val="clear" w:color="DDEBF7" w:fill="DDEBF7"/>
            <w:noWrap/>
            <w:vAlign w:val="bottom"/>
            <w:hideMark/>
          </w:tcPr>
          <w:p w14:paraId="5D4D6970" w14:textId="77777777" w:rsidR="00971A7A" w:rsidRPr="00971A7A" w:rsidRDefault="00971A7A" w:rsidP="00971A7A">
            <w:pPr>
              <w:spacing w:after="0" w:line="240" w:lineRule="auto"/>
              <w:jc w:val="lef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Grand Total</w:t>
            </w:r>
          </w:p>
        </w:tc>
        <w:tc>
          <w:tcPr>
            <w:tcW w:w="1016" w:type="dxa"/>
            <w:gridSpan w:val="2"/>
            <w:tcBorders>
              <w:top w:val="single" w:sz="4" w:space="0" w:color="auto"/>
              <w:left w:val="nil"/>
              <w:bottom w:val="single" w:sz="4" w:space="0" w:color="auto"/>
              <w:right w:val="nil"/>
            </w:tcBorders>
            <w:shd w:val="clear" w:color="DDEBF7" w:fill="DDEBF7"/>
            <w:noWrap/>
            <w:vAlign w:val="bottom"/>
            <w:hideMark/>
          </w:tcPr>
          <w:p w14:paraId="7DD2E558"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86.47</w:t>
            </w:r>
          </w:p>
        </w:tc>
        <w:tc>
          <w:tcPr>
            <w:tcW w:w="1232" w:type="dxa"/>
            <w:gridSpan w:val="2"/>
            <w:tcBorders>
              <w:top w:val="single" w:sz="4" w:space="0" w:color="auto"/>
              <w:left w:val="nil"/>
              <w:bottom w:val="single" w:sz="4" w:space="0" w:color="auto"/>
              <w:right w:val="nil"/>
            </w:tcBorders>
            <w:shd w:val="clear" w:color="DDEBF7" w:fill="DDEBF7"/>
            <w:noWrap/>
            <w:vAlign w:val="bottom"/>
            <w:hideMark/>
          </w:tcPr>
          <w:p w14:paraId="1EB5643F"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15,110,557 </w:t>
            </w:r>
          </w:p>
        </w:tc>
        <w:tc>
          <w:tcPr>
            <w:tcW w:w="643" w:type="dxa"/>
            <w:gridSpan w:val="3"/>
            <w:tcBorders>
              <w:top w:val="single" w:sz="4" w:space="0" w:color="auto"/>
              <w:left w:val="nil"/>
              <w:bottom w:val="single" w:sz="4" w:space="0" w:color="auto"/>
              <w:right w:val="nil"/>
            </w:tcBorders>
            <w:shd w:val="clear" w:color="DDEBF7" w:fill="DDEBF7"/>
            <w:noWrap/>
            <w:vAlign w:val="bottom"/>
            <w:hideMark/>
          </w:tcPr>
          <w:p w14:paraId="2FD3815B"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987" w:type="dxa"/>
            <w:gridSpan w:val="4"/>
            <w:tcBorders>
              <w:top w:val="single" w:sz="4" w:space="0" w:color="auto"/>
              <w:left w:val="nil"/>
              <w:bottom w:val="single" w:sz="4" w:space="0" w:color="auto"/>
              <w:right w:val="nil"/>
            </w:tcBorders>
            <w:shd w:val="clear" w:color="DDEBF7" w:fill="DDEBF7"/>
            <w:noWrap/>
            <w:vAlign w:val="bottom"/>
            <w:hideMark/>
          </w:tcPr>
          <w:p w14:paraId="601649F0"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576,181 </w:t>
            </w:r>
          </w:p>
        </w:tc>
        <w:tc>
          <w:tcPr>
            <w:tcW w:w="489" w:type="dxa"/>
            <w:gridSpan w:val="2"/>
            <w:tcBorders>
              <w:top w:val="single" w:sz="4" w:space="0" w:color="auto"/>
              <w:left w:val="nil"/>
              <w:bottom w:val="single" w:sz="4" w:space="0" w:color="auto"/>
              <w:right w:val="nil"/>
            </w:tcBorders>
            <w:shd w:val="clear" w:color="DDEBF7" w:fill="DDEBF7"/>
            <w:noWrap/>
            <w:vAlign w:val="bottom"/>
            <w:hideMark/>
          </w:tcPr>
          <w:p w14:paraId="521F59C6"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23</w:t>
            </w:r>
          </w:p>
        </w:tc>
        <w:tc>
          <w:tcPr>
            <w:tcW w:w="1008" w:type="dxa"/>
            <w:gridSpan w:val="5"/>
            <w:tcBorders>
              <w:top w:val="single" w:sz="4" w:space="0" w:color="auto"/>
              <w:left w:val="nil"/>
              <w:bottom w:val="single" w:sz="4" w:space="0" w:color="auto"/>
              <w:right w:val="nil"/>
            </w:tcBorders>
            <w:shd w:val="clear" w:color="DDEBF7" w:fill="DDEBF7"/>
            <w:noWrap/>
            <w:vAlign w:val="bottom"/>
            <w:hideMark/>
          </w:tcPr>
          <w:p w14:paraId="17C3D5C0"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(0)</w:t>
            </w:r>
          </w:p>
        </w:tc>
        <w:tc>
          <w:tcPr>
            <w:tcW w:w="665" w:type="dxa"/>
            <w:gridSpan w:val="3"/>
            <w:tcBorders>
              <w:top w:val="single" w:sz="4" w:space="0" w:color="auto"/>
              <w:left w:val="nil"/>
              <w:bottom w:val="single" w:sz="4" w:space="0" w:color="auto"/>
              <w:right w:val="nil"/>
            </w:tcBorders>
            <w:shd w:val="clear" w:color="DDEBF7" w:fill="DDEBF7"/>
            <w:noWrap/>
            <w:vAlign w:val="bottom"/>
            <w:hideMark/>
          </w:tcPr>
          <w:p w14:paraId="4EEBF1E7"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109.21</w:t>
            </w:r>
          </w:p>
        </w:tc>
        <w:tc>
          <w:tcPr>
            <w:tcW w:w="975" w:type="dxa"/>
            <w:gridSpan w:val="2"/>
            <w:tcBorders>
              <w:top w:val="single" w:sz="4" w:space="0" w:color="auto"/>
              <w:left w:val="nil"/>
              <w:bottom w:val="single" w:sz="4" w:space="0" w:color="auto"/>
              <w:right w:val="single" w:sz="4" w:space="0" w:color="auto"/>
            </w:tcBorders>
            <w:shd w:val="clear" w:color="DDEBF7" w:fill="DDEBF7"/>
            <w:noWrap/>
            <w:vAlign w:val="bottom"/>
            <w:hideMark/>
          </w:tcPr>
          <w:p w14:paraId="4CAC0BE0" w14:textId="77777777" w:rsidR="00971A7A" w:rsidRPr="00971A7A" w:rsidRDefault="00971A7A" w:rsidP="00971A7A">
            <w:pPr>
              <w:spacing w:after="0" w:line="240" w:lineRule="auto"/>
              <w:jc w:val="right"/>
              <w:rPr>
                <w:rFonts w:ascii="Calibri" w:eastAsia="Times New Roman" w:hAnsi="Calibri" w:cs="Calibri"/>
                <w:b/>
                <w:bCs/>
                <w:color w:val="000000"/>
                <w:sz w:val="16"/>
                <w:szCs w:val="16"/>
              </w:rPr>
            </w:pPr>
            <w:r w:rsidRPr="00971A7A">
              <w:rPr>
                <w:rFonts w:ascii="Calibri" w:eastAsia="Times New Roman" w:hAnsi="Calibri" w:cs="Calibri"/>
                <w:b/>
                <w:bCs/>
                <w:color w:val="000000"/>
                <w:sz w:val="16"/>
                <w:szCs w:val="16"/>
              </w:rPr>
              <w:t xml:space="preserve">15,686,738 </w:t>
            </w:r>
          </w:p>
        </w:tc>
      </w:tr>
    </w:tbl>
    <w:p w14:paraId="194796DA" w14:textId="77777777" w:rsidR="00971A7A" w:rsidRPr="00971A7A" w:rsidRDefault="00971A7A" w:rsidP="00971A7A"/>
    <w:p w14:paraId="42C28392" w14:textId="134EEC20" w:rsidR="00832C05" w:rsidRPr="00604B87" w:rsidRDefault="00832C05" w:rsidP="000E21B8">
      <w:r w:rsidRPr="00EA444B">
        <w:br w:type="page"/>
      </w:r>
    </w:p>
    <w:p w14:paraId="60F4B713" w14:textId="16B820E9" w:rsidR="00F35CDA" w:rsidRPr="00DB24B0" w:rsidRDefault="00F35CDA" w:rsidP="00BE3952">
      <w:pPr>
        <w:pStyle w:val="Heading1"/>
      </w:pPr>
      <w:bookmarkStart w:id="939" w:name="_Toc83886170"/>
      <w:r w:rsidRPr="00DB24B0">
        <w:lastRenderedPageBreak/>
        <w:t>APPENDIX A: FINANCIAL PLAN</w:t>
      </w:r>
      <w:bookmarkEnd w:id="939"/>
      <w:r w:rsidRPr="00DB24B0">
        <w:t xml:space="preserve"> </w:t>
      </w:r>
    </w:p>
    <w:p w14:paraId="7F9303CB" w14:textId="77777777" w:rsidR="001C292A" w:rsidRDefault="001C292A" w:rsidP="001C292A">
      <w:pPr>
        <w:pStyle w:val="NormalWeb"/>
      </w:pPr>
      <w:r>
        <w:t>The financial charts have been produced with an organizational view of the Observatory using a Work Breakdown Structure. The WBS definitions were created in conjunction with the operating units of the Observatory assuring that the definitions correspond with actual work units. WBS effort captured includes FTEs, direct salary and benefits budgets, travel budgets, and materials, equipment and supplies.</w:t>
      </w:r>
    </w:p>
    <w:p w14:paraId="4605844C" w14:textId="77777777" w:rsidR="001C292A" w:rsidRDefault="001C292A" w:rsidP="001C292A">
      <w:pPr>
        <w:pStyle w:val="NormalWeb"/>
      </w:pPr>
    </w:p>
    <w:p w14:paraId="5CB133B2" w14:textId="3F5F023E" w:rsidR="001C292A" w:rsidRPr="009924E1" w:rsidRDefault="001C292A" w:rsidP="001C292A">
      <w:pPr>
        <w:pStyle w:val="NormalWeb"/>
        <w:rPr>
          <w:spacing w:val="-2"/>
        </w:rPr>
      </w:pPr>
      <w:r w:rsidRPr="009924E1">
        <w:rPr>
          <w:spacing w:val="-2"/>
        </w:rPr>
        <w:t>Benefits Assumptions: The costs for the following employee benefits are treated as a pool: employer retirement contributions, FICA, employer paid medical and dental plan contributions, wellness initiatives, worker’s compensation, unemployment, life insurance, tuition, and paid time off (PTO). PTO includes vacation, sick leave, AUI holidays, and other miscellaneous compensated leave. Lastly, the benefits pool includes designated amounts to retire outstanding unfunded vacation and retiree health obligations acquired under AUI’s pay as you go benefits program which ended with FY2019. This pool is liquidated across AUI to all salary and wage expenditures, excluding AUI’s Chilean local staff members. The benefits rate is a budget allocation and recovery mechanism and applies whether or not the incumbent is eligible for/receives all the noted benefits. The projected FY2022 benefits rate is 58.62%, a modest decrease from FY</w:t>
      </w:r>
      <w:r w:rsidR="009924E1" w:rsidRPr="009924E1">
        <w:rPr>
          <w:spacing w:val="-2"/>
        </w:rPr>
        <w:t>20</w:t>
      </w:r>
      <w:r w:rsidRPr="009924E1">
        <w:rPr>
          <w:spacing w:val="-2"/>
        </w:rPr>
        <w:t>21</w:t>
      </w:r>
      <w:r w:rsidR="009924E1" w:rsidRPr="009924E1">
        <w:rPr>
          <w:spacing w:val="-2"/>
        </w:rPr>
        <w:t>.</w:t>
      </w:r>
    </w:p>
    <w:p w14:paraId="7E83AFE2" w14:textId="77777777" w:rsidR="001C292A" w:rsidRDefault="001C292A" w:rsidP="001C292A">
      <w:pPr>
        <w:pStyle w:val="NormalWeb"/>
      </w:pPr>
    </w:p>
    <w:p w14:paraId="1CFF70EF" w14:textId="1EACF5AA" w:rsidR="001C292A" w:rsidRDefault="001C292A" w:rsidP="001C292A">
      <w:pPr>
        <w:pStyle w:val="NormalWeb"/>
      </w:pPr>
      <w:r>
        <w:t>GBO Internal Common Cost (ICC): There are several departments which provide programmatic support and services to all the telescopes and/or site. These units are: Site Director, Business Office, Plant Maintenance, and Sitewide Computing and Infrastructure. Their activities make up the bulk of the GBO ICC activities.  The NRAO and GBO ICC rates are federally negotiated rates compliant with 2 CFR Part 200. For FY2022 the rate used was 25.52%. GBO pays NRAO for Negotiated Services utilizing their Admin Rate One of 6.10% and Facility One rate of 3.55%.</w:t>
      </w:r>
    </w:p>
    <w:p w14:paraId="0E9C2FCF" w14:textId="77777777" w:rsidR="001C292A" w:rsidRDefault="001C292A" w:rsidP="001C292A">
      <w:pPr>
        <w:pStyle w:val="NormalWeb"/>
      </w:pPr>
    </w:p>
    <w:p w14:paraId="18E2C768" w14:textId="77777777" w:rsidR="001C292A" w:rsidRDefault="001C292A" w:rsidP="001C292A">
      <w:pPr>
        <w:pStyle w:val="NormalWeb"/>
      </w:pPr>
      <w:r>
        <w:t>AUI IDC and Fee: The AUI IDC rate is a federally negotiated rate compliant with 2 CFR Part 200. This recovery pays AUI corporate costs, including Fiscal Operations, associated with the management of the GBO. AUI IDC has been budgeted at 6.57%</w:t>
      </w:r>
    </w:p>
    <w:p w14:paraId="4F08A4E4" w14:textId="77777777" w:rsidR="001C292A" w:rsidRDefault="001C292A" w:rsidP="001C292A">
      <w:pPr>
        <w:pStyle w:val="NormalWeb"/>
      </w:pPr>
    </w:p>
    <w:p w14:paraId="19AA9CF1" w14:textId="77777777" w:rsidR="001C292A" w:rsidRDefault="001C292A" w:rsidP="001C292A">
      <w:pPr>
        <w:pStyle w:val="NormalWeb"/>
      </w:pPr>
      <w:r>
        <w:t>The GBO budget includes AUI fee of $90,000.</w:t>
      </w:r>
    </w:p>
    <w:p w14:paraId="4153826C" w14:textId="77777777" w:rsidR="001C292A" w:rsidRDefault="001C292A" w:rsidP="001C292A">
      <w:pPr>
        <w:pStyle w:val="NormalWeb"/>
      </w:pPr>
    </w:p>
    <w:p w14:paraId="3BBF3DE7" w14:textId="77777777" w:rsidR="001C292A" w:rsidRPr="009924E1" w:rsidRDefault="001C292A" w:rsidP="001C292A">
      <w:pPr>
        <w:pStyle w:val="NormalWeb"/>
        <w:rPr>
          <w:b/>
        </w:rPr>
      </w:pPr>
      <w:r w:rsidRPr="009924E1">
        <w:rPr>
          <w:b/>
        </w:rPr>
        <w:t>Funding Sources</w:t>
      </w:r>
    </w:p>
    <w:p w14:paraId="32B6AA80" w14:textId="77777777" w:rsidR="001C292A" w:rsidRDefault="001C292A" w:rsidP="001C292A">
      <w:pPr>
        <w:pStyle w:val="NormalWeb"/>
      </w:pPr>
      <w:r>
        <w:t>NSF Allocations: Annual Congressional appropriate budgets provided by NSF.</w:t>
      </w:r>
    </w:p>
    <w:p w14:paraId="24B7B357" w14:textId="77777777" w:rsidR="001C292A" w:rsidRDefault="001C292A" w:rsidP="001C292A">
      <w:pPr>
        <w:pStyle w:val="NormalWeb"/>
      </w:pPr>
    </w:p>
    <w:p w14:paraId="3667C4FB" w14:textId="77777777" w:rsidR="001C292A" w:rsidRDefault="001C292A" w:rsidP="001C292A">
      <w:pPr>
        <w:pStyle w:val="NormalWeb"/>
      </w:pPr>
      <w:r>
        <w:t>WFO: GBO participates in WFO projects. These projects are shown to demonstrate their contribution to indirect cost recovery.</w:t>
      </w:r>
    </w:p>
    <w:p w14:paraId="45FCA9C0" w14:textId="77777777" w:rsidR="001C292A" w:rsidRDefault="001C292A" w:rsidP="001C292A">
      <w:pPr>
        <w:pStyle w:val="NormalWeb"/>
      </w:pPr>
    </w:p>
    <w:p w14:paraId="0908F90E" w14:textId="77777777" w:rsidR="001C292A" w:rsidRDefault="001C292A" w:rsidP="001C292A">
      <w:pPr>
        <w:pStyle w:val="NormalWeb"/>
      </w:pPr>
      <w:r>
        <w:t>Telescope Time Sales: The GBO makes time available for sale. Anticipated program income revenues from telescope time sales are recorded as program income.</w:t>
      </w:r>
    </w:p>
    <w:p w14:paraId="38473A72" w14:textId="77777777" w:rsidR="001C292A" w:rsidRDefault="001C292A" w:rsidP="001C292A">
      <w:pPr>
        <w:pStyle w:val="NormalWeb"/>
      </w:pPr>
    </w:p>
    <w:p w14:paraId="1F99EF46" w14:textId="77777777" w:rsidR="001C292A" w:rsidRDefault="001C292A" w:rsidP="001C292A">
      <w:pPr>
        <w:pStyle w:val="NormalWeb"/>
      </w:pPr>
      <w:r>
        <w:t>Carry-Over: Funds which have been allocated by NSF in prior years but have not been spent. GBO has budgeted a carry-over of $1,075,631 for FY2022.  The bulk of this is funds awarded for multi-year projects.</w:t>
      </w:r>
    </w:p>
    <w:p w14:paraId="6F7D0B52" w14:textId="77777777" w:rsidR="001C292A" w:rsidRDefault="001C292A" w:rsidP="001C292A">
      <w:pPr>
        <w:pStyle w:val="NormalWeb"/>
      </w:pPr>
    </w:p>
    <w:p w14:paraId="5A81B2D3" w14:textId="77777777" w:rsidR="00916B75" w:rsidRDefault="001C292A" w:rsidP="001C292A">
      <w:pPr>
        <w:pStyle w:val="NormalWeb"/>
      </w:pPr>
      <w:r>
        <w:t xml:space="preserve">Other Program Income:  GBO provides services to visitors including housing, food service, tours, and a gift shop.   </w:t>
      </w:r>
      <w:r w:rsidR="00F35CDA" w:rsidRPr="00DB24B0">
        <w:t xml:space="preserve"> </w:t>
      </w:r>
    </w:p>
    <w:p w14:paraId="4251ED74" w14:textId="789BC8E0" w:rsidR="00134B3C" w:rsidRDefault="00134B3C" w:rsidP="009924E1">
      <w:pPr>
        <w:spacing w:after="0" w:line="240" w:lineRule="auto"/>
        <w:jc w:val="left"/>
        <w:sectPr w:rsidR="00134B3C" w:rsidSect="00B86F30">
          <w:headerReference w:type="default" r:id="rId16"/>
          <w:footerReference w:type="default" r:id="rId17"/>
          <w:pgSz w:w="12240" w:h="15840"/>
          <w:pgMar w:top="1260" w:right="1440" w:bottom="1350" w:left="1440" w:header="720" w:footer="720" w:gutter="0"/>
          <w:cols w:space="720"/>
          <w:formProt w:val="0"/>
          <w:docGrid w:linePitch="360" w:charSpace="-2049"/>
        </w:sectPr>
      </w:pPr>
    </w:p>
    <w:p w14:paraId="462EE4E2" w14:textId="544D0F48" w:rsidR="00466EE7" w:rsidRDefault="00466EE7" w:rsidP="00BE3952">
      <w:pPr>
        <w:pStyle w:val="Heading1"/>
      </w:pPr>
      <w:bookmarkStart w:id="940" w:name="_Toc83886171"/>
      <w:r>
        <w:lastRenderedPageBreak/>
        <w:t>APPENDIX B</w:t>
      </w:r>
      <w:r w:rsidR="00D0778C">
        <w:t>:</w:t>
      </w:r>
      <w:r>
        <w:t xml:space="preserve"> WBS </w:t>
      </w:r>
      <w:r w:rsidR="00A829B3">
        <w:t>STRUCTURE</w:t>
      </w:r>
      <w:bookmarkEnd w:id="940"/>
    </w:p>
    <w:p w14:paraId="3C8CC75D" w14:textId="6467AF11" w:rsidR="00916B75" w:rsidRDefault="00916B75" w:rsidP="000E21B8">
      <w:r w:rsidRPr="00182A6A">
        <w:t xml:space="preserve">Observatory Work Breakdown Structure (WBS) Dictionary (Part 1 of </w:t>
      </w:r>
      <w:r>
        <w:t>5</w:t>
      </w:r>
      <w:r w:rsidRPr="00182A6A">
        <w:t>)</w:t>
      </w:r>
    </w:p>
    <w:p w14:paraId="78B41A48" w14:textId="6A9A843A" w:rsidR="00403FDC" w:rsidRDefault="00403FDC" w:rsidP="000E21B8">
      <w:r w:rsidRPr="00403FDC">
        <w:rPr>
          <w:rFonts w:ascii="Calibri" w:eastAsia="Calibri" w:hAnsi="Calibri" w:cs="Times New Roman"/>
          <w:noProof/>
        </w:rPr>
        <w:drawing>
          <wp:inline distT="0" distB="0" distL="0" distR="0" wp14:anchorId="44CF9769" wp14:editId="2027EB6A">
            <wp:extent cx="8214360" cy="4004222"/>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7513" cy="4010634"/>
                    </a:xfrm>
                    <a:prstGeom prst="rect">
                      <a:avLst/>
                    </a:prstGeom>
                    <a:noFill/>
                    <a:ln>
                      <a:noFill/>
                    </a:ln>
                  </pic:spPr>
                </pic:pic>
              </a:graphicData>
            </a:graphic>
          </wp:inline>
        </w:drawing>
      </w:r>
    </w:p>
    <w:p w14:paraId="5818671A" w14:textId="2A8F1EBE" w:rsidR="00403FDC" w:rsidRDefault="00403FDC">
      <w:pPr>
        <w:spacing w:after="0" w:line="240" w:lineRule="auto"/>
        <w:jc w:val="left"/>
      </w:pPr>
      <w:r>
        <w:br w:type="page"/>
      </w:r>
    </w:p>
    <w:p w14:paraId="5667EE70" w14:textId="7A618084" w:rsidR="00916B75" w:rsidRDefault="00916B75" w:rsidP="000E21B8">
      <w:r w:rsidRPr="00182A6A">
        <w:lastRenderedPageBreak/>
        <w:t xml:space="preserve">Observatory Work Breakdown Structure (WBS) Dictionary (Part 2 of </w:t>
      </w:r>
      <w:r>
        <w:t>5</w:t>
      </w:r>
      <w:r w:rsidRPr="00182A6A">
        <w:t>)</w:t>
      </w:r>
    </w:p>
    <w:p w14:paraId="2045FAF3" w14:textId="5924BD1A" w:rsidR="00403FDC" w:rsidRDefault="00403FDC" w:rsidP="00403FDC">
      <w:pPr>
        <w:rPr>
          <w:noProof/>
        </w:rPr>
      </w:pPr>
      <w:r w:rsidRPr="00403FDC">
        <w:rPr>
          <w:rFonts w:ascii="Calibri" w:eastAsia="Calibri" w:hAnsi="Calibri" w:cs="Times New Roman"/>
          <w:noProof/>
        </w:rPr>
        <w:drawing>
          <wp:inline distT="0" distB="0" distL="0" distR="0" wp14:anchorId="6E806568" wp14:editId="620FF398">
            <wp:extent cx="8229600" cy="476264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36163" cy="4766443"/>
                    </a:xfrm>
                    <a:prstGeom prst="rect">
                      <a:avLst/>
                    </a:prstGeom>
                    <a:noFill/>
                    <a:ln>
                      <a:noFill/>
                    </a:ln>
                  </pic:spPr>
                </pic:pic>
              </a:graphicData>
            </a:graphic>
          </wp:inline>
        </w:drawing>
      </w:r>
      <w:r>
        <w:rPr>
          <w:noProof/>
        </w:rPr>
        <w:br w:type="page"/>
      </w:r>
    </w:p>
    <w:p w14:paraId="477F670B" w14:textId="33351159" w:rsidR="00916B75" w:rsidRDefault="00916B75" w:rsidP="000E21B8">
      <w:r w:rsidRPr="00182A6A">
        <w:lastRenderedPageBreak/>
        <w:t xml:space="preserve">Observatory Work Breakdown Structure (WBS) Dictionary (Part </w:t>
      </w:r>
      <w:r>
        <w:t>3</w:t>
      </w:r>
      <w:r w:rsidRPr="00182A6A">
        <w:t xml:space="preserve"> of </w:t>
      </w:r>
      <w:r>
        <w:t>5</w:t>
      </w:r>
      <w:r w:rsidRPr="00182A6A">
        <w:t>)</w:t>
      </w:r>
    </w:p>
    <w:p w14:paraId="22B11628" w14:textId="47E2E91B" w:rsidR="00916B75" w:rsidRDefault="00403FDC" w:rsidP="001812E3">
      <w:pPr>
        <w:rPr>
          <w:noProof/>
        </w:rPr>
      </w:pPr>
      <w:r w:rsidRPr="00403FDC">
        <w:rPr>
          <w:rFonts w:ascii="Calibri" w:eastAsia="Calibri" w:hAnsi="Calibri" w:cs="Times New Roman"/>
          <w:noProof/>
        </w:rPr>
        <w:drawing>
          <wp:inline distT="0" distB="0" distL="0" distR="0" wp14:anchorId="671580E8" wp14:editId="723FEB8F">
            <wp:extent cx="8262733" cy="4655820"/>
            <wp:effectExtent l="0" t="0" r="508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68024" cy="4658801"/>
                    </a:xfrm>
                    <a:prstGeom prst="rect">
                      <a:avLst/>
                    </a:prstGeom>
                    <a:noFill/>
                    <a:ln>
                      <a:noFill/>
                    </a:ln>
                  </pic:spPr>
                </pic:pic>
              </a:graphicData>
            </a:graphic>
          </wp:inline>
        </w:drawing>
      </w:r>
    </w:p>
    <w:p w14:paraId="358A86E1" w14:textId="5D33316C" w:rsidR="00403FDC" w:rsidRDefault="00403FDC">
      <w:pPr>
        <w:spacing w:after="0" w:line="240" w:lineRule="auto"/>
        <w:jc w:val="left"/>
      </w:pPr>
      <w:r>
        <w:br w:type="page"/>
      </w:r>
    </w:p>
    <w:p w14:paraId="6B74F1E2" w14:textId="5E1C551A" w:rsidR="00916B75" w:rsidRDefault="00916B75" w:rsidP="000E21B8">
      <w:r w:rsidRPr="00182A6A">
        <w:lastRenderedPageBreak/>
        <w:t xml:space="preserve">Observatory Work Breakdown Structure (WBS) Dictionary (Part </w:t>
      </w:r>
      <w:r>
        <w:t>4</w:t>
      </w:r>
      <w:r w:rsidRPr="00182A6A">
        <w:t xml:space="preserve"> of </w:t>
      </w:r>
      <w:r>
        <w:t>5</w:t>
      </w:r>
      <w:r w:rsidRPr="00182A6A">
        <w:t>)</w:t>
      </w:r>
    </w:p>
    <w:p w14:paraId="713F1EC5" w14:textId="5561DC18" w:rsidR="00916B75" w:rsidRDefault="00403FDC" w:rsidP="001812E3">
      <w:pPr>
        <w:rPr>
          <w:noProof/>
        </w:rPr>
      </w:pPr>
      <w:r w:rsidRPr="00403FDC">
        <w:rPr>
          <w:rFonts w:ascii="Calibri" w:eastAsia="Calibri" w:hAnsi="Calibri" w:cs="Times New Roman"/>
          <w:noProof/>
        </w:rPr>
        <w:drawing>
          <wp:inline distT="0" distB="0" distL="0" distR="0" wp14:anchorId="264567C7" wp14:editId="1322413A">
            <wp:extent cx="8208198" cy="4625340"/>
            <wp:effectExtent l="0" t="0" r="254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14515" cy="4628900"/>
                    </a:xfrm>
                    <a:prstGeom prst="rect">
                      <a:avLst/>
                    </a:prstGeom>
                    <a:noFill/>
                    <a:ln>
                      <a:noFill/>
                    </a:ln>
                  </pic:spPr>
                </pic:pic>
              </a:graphicData>
            </a:graphic>
          </wp:inline>
        </w:drawing>
      </w:r>
    </w:p>
    <w:p w14:paraId="5CC7A5C9" w14:textId="6CA13EB3" w:rsidR="00403FDC" w:rsidRDefault="00403FDC">
      <w:pPr>
        <w:spacing w:after="0" w:line="240" w:lineRule="auto"/>
        <w:jc w:val="left"/>
        <w:rPr>
          <w:noProof/>
        </w:rPr>
      </w:pPr>
      <w:r>
        <w:rPr>
          <w:noProof/>
        </w:rPr>
        <w:br w:type="page"/>
      </w:r>
    </w:p>
    <w:p w14:paraId="327AF05E" w14:textId="6AF73CA3" w:rsidR="00916B75" w:rsidRDefault="00916B75" w:rsidP="000E21B8">
      <w:r w:rsidRPr="00182A6A">
        <w:lastRenderedPageBreak/>
        <w:t xml:space="preserve">Observatory Work Breakdown Structure (WBS) Dictionary (Part </w:t>
      </w:r>
      <w:r>
        <w:t>5</w:t>
      </w:r>
      <w:r w:rsidRPr="00182A6A">
        <w:t xml:space="preserve"> of </w:t>
      </w:r>
      <w:r>
        <w:t>5</w:t>
      </w:r>
      <w:r w:rsidRPr="00182A6A">
        <w:t>)</w:t>
      </w:r>
    </w:p>
    <w:p w14:paraId="68A7C487" w14:textId="57D81053" w:rsidR="00916B75" w:rsidRDefault="00403FDC" w:rsidP="001812E3">
      <w:pPr>
        <w:rPr>
          <w:noProof/>
        </w:rPr>
      </w:pPr>
      <w:r w:rsidRPr="00403FDC">
        <w:rPr>
          <w:rFonts w:ascii="Calibri" w:eastAsia="Calibri" w:hAnsi="Calibri" w:cs="Times New Roman"/>
          <w:noProof/>
        </w:rPr>
        <w:drawing>
          <wp:inline distT="0" distB="0" distL="0" distR="0" wp14:anchorId="16F7302C" wp14:editId="36BE7574">
            <wp:extent cx="8236154" cy="37642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41136" cy="3766557"/>
                    </a:xfrm>
                    <a:prstGeom prst="rect">
                      <a:avLst/>
                    </a:prstGeom>
                    <a:noFill/>
                    <a:ln>
                      <a:noFill/>
                    </a:ln>
                  </pic:spPr>
                </pic:pic>
              </a:graphicData>
            </a:graphic>
          </wp:inline>
        </w:drawing>
      </w:r>
    </w:p>
    <w:p w14:paraId="2B9CA796" w14:textId="77777777" w:rsidR="00916B75" w:rsidRDefault="00916B75" w:rsidP="000E21B8"/>
    <w:p w14:paraId="2A5B0887" w14:textId="77777777" w:rsidR="00C54BE9" w:rsidRDefault="00C54BE9">
      <w:pPr>
        <w:spacing w:after="0" w:line="240" w:lineRule="auto"/>
        <w:jc w:val="left"/>
      </w:pPr>
      <w:r>
        <w:br w:type="page"/>
      </w:r>
    </w:p>
    <w:p w14:paraId="0D70D112" w14:textId="2336BADC" w:rsidR="00C54BE9" w:rsidRDefault="00C54BE9" w:rsidP="00BE3952">
      <w:pPr>
        <w:pStyle w:val="Heading1"/>
      </w:pPr>
      <w:bookmarkStart w:id="941" w:name="_Toc83886172"/>
      <w:r>
        <w:lastRenderedPageBreak/>
        <w:t xml:space="preserve">APPENDIX C: </w:t>
      </w:r>
      <w:r w:rsidR="00A829B3">
        <w:t>MAJOR MILESTONES</w:t>
      </w:r>
      <w:bookmarkEnd w:id="941"/>
    </w:p>
    <w:tbl>
      <w:tblPr>
        <w:tblStyle w:val="TableGrid"/>
        <w:tblW w:w="0" w:type="auto"/>
        <w:tblLook w:val="04A0" w:firstRow="1" w:lastRow="0" w:firstColumn="1" w:lastColumn="0" w:noHBand="0" w:noVBand="1"/>
      </w:tblPr>
      <w:tblGrid>
        <w:gridCol w:w="1885"/>
        <w:gridCol w:w="4950"/>
        <w:gridCol w:w="1620"/>
        <w:gridCol w:w="1440"/>
        <w:gridCol w:w="1440"/>
        <w:gridCol w:w="1400"/>
      </w:tblGrid>
      <w:tr w:rsidR="00C54BE9" w:rsidRPr="00C54BE9" w14:paraId="0E7BD147" w14:textId="77777777" w:rsidTr="00D210D0">
        <w:trPr>
          <w:trHeight w:val="348"/>
          <w:tblHeader/>
        </w:trPr>
        <w:tc>
          <w:tcPr>
            <w:tcW w:w="6835" w:type="dxa"/>
            <w:gridSpan w:val="2"/>
            <w:shd w:val="clear" w:color="auto" w:fill="DBE5F1" w:themeFill="accent1" w:themeFillTint="33"/>
            <w:noWrap/>
            <w:hideMark/>
          </w:tcPr>
          <w:p w14:paraId="06DC7C2F" w14:textId="77777777" w:rsidR="00C54BE9" w:rsidRPr="00C54BE9" w:rsidRDefault="00C54BE9">
            <w:pPr>
              <w:spacing w:after="0" w:line="240" w:lineRule="auto"/>
              <w:jc w:val="left"/>
              <w:rPr>
                <w:b/>
                <w:bCs/>
              </w:rPr>
            </w:pPr>
            <w:r w:rsidRPr="00C54BE9">
              <w:rPr>
                <w:b/>
                <w:bCs/>
              </w:rPr>
              <w:t>FY2022 Major Milestones</w:t>
            </w:r>
          </w:p>
        </w:tc>
        <w:tc>
          <w:tcPr>
            <w:tcW w:w="5900" w:type="dxa"/>
            <w:gridSpan w:val="4"/>
            <w:shd w:val="clear" w:color="auto" w:fill="DBE5F1" w:themeFill="accent1" w:themeFillTint="33"/>
            <w:noWrap/>
            <w:hideMark/>
          </w:tcPr>
          <w:p w14:paraId="5394CCA6" w14:textId="77777777" w:rsidR="00C54BE9" w:rsidRPr="00C54BE9" w:rsidRDefault="00C54BE9" w:rsidP="00C54BE9">
            <w:pPr>
              <w:spacing w:after="0" w:line="240" w:lineRule="auto"/>
              <w:jc w:val="left"/>
              <w:rPr>
                <w:b/>
                <w:bCs/>
              </w:rPr>
            </w:pPr>
            <w:r w:rsidRPr="00C54BE9">
              <w:rPr>
                <w:b/>
                <w:bCs/>
              </w:rPr>
              <w:t>FY2022</w:t>
            </w:r>
          </w:p>
        </w:tc>
      </w:tr>
      <w:tr w:rsidR="00C54BE9" w:rsidRPr="00C54BE9" w14:paraId="31B34171" w14:textId="77777777" w:rsidTr="00D210D0">
        <w:trPr>
          <w:trHeight w:val="348"/>
          <w:tblHeader/>
        </w:trPr>
        <w:tc>
          <w:tcPr>
            <w:tcW w:w="1885" w:type="dxa"/>
            <w:shd w:val="clear" w:color="auto" w:fill="DBE5F1" w:themeFill="accent1" w:themeFillTint="33"/>
            <w:noWrap/>
            <w:hideMark/>
          </w:tcPr>
          <w:p w14:paraId="3F184385" w14:textId="77777777" w:rsidR="00C54BE9" w:rsidRPr="00C54BE9" w:rsidRDefault="00C54BE9" w:rsidP="00C54BE9">
            <w:pPr>
              <w:spacing w:after="0" w:line="240" w:lineRule="auto"/>
              <w:jc w:val="left"/>
              <w:rPr>
                <w:b/>
                <w:bCs/>
              </w:rPr>
            </w:pPr>
            <w:r w:rsidRPr="00C54BE9">
              <w:rPr>
                <w:b/>
                <w:bCs/>
              </w:rPr>
              <w:t>Category</w:t>
            </w:r>
          </w:p>
        </w:tc>
        <w:tc>
          <w:tcPr>
            <w:tcW w:w="4950" w:type="dxa"/>
            <w:shd w:val="clear" w:color="auto" w:fill="DBE5F1" w:themeFill="accent1" w:themeFillTint="33"/>
            <w:noWrap/>
            <w:hideMark/>
          </w:tcPr>
          <w:p w14:paraId="20E31E09" w14:textId="77777777" w:rsidR="00C54BE9" w:rsidRPr="00C54BE9" w:rsidRDefault="00C54BE9" w:rsidP="00C54BE9">
            <w:pPr>
              <w:spacing w:after="0" w:line="240" w:lineRule="auto"/>
              <w:jc w:val="left"/>
              <w:rPr>
                <w:b/>
                <w:bCs/>
              </w:rPr>
            </w:pPr>
            <w:r w:rsidRPr="00C54BE9">
              <w:rPr>
                <w:b/>
                <w:bCs/>
              </w:rPr>
              <w:t>Milestone</w:t>
            </w:r>
          </w:p>
        </w:tc>
        <w:tc>
          <w:tcPr>
            <w:tcW w:w="1620" w:type="dxa"/>
            <w:shd w:val="clear" w:color="auto" w:fill="DBE5F1" w:themeFill="accent1" w:themeFillTint="33"/>
            <w:noWrap/>
            <w:hideMark/>
          </w:tcPr>
          <w:p w14:paraId="4403F525" w14:textId="77777777" w:rsidR="00C54BE9" w:rsidRPr="00C54BE9" w:rsidRDefault="00C54BE9" w:rsidP="00C54BE9">
            <w:pPr>
              <w:spacing w:after="0" w:line="240" w:lineRule="auto"/>
              <w:jc w:val="left"/>
              <w:rPr>
                <w:b/>
                <w:bCs/>
              </w:rPr>
            </w:pPr>
            <w:r w:rsidRPr="00C54BE9">
              <w:rPr>
                <w:b/>
                <w:bCs/>
              </w:rPr>
              <w:t>Q1</w:t>
            </w:r>
          </w:p>
        </w:tc>
        <w:tc>
          <w:tcPr>
            <w:tcW w:w="1440" w:type="dxa"/>
            <w:shd w:val="clear" w:color="auto" w:fill="DBE5F1" w:themeFill="accent1" w:themeFillTint="33"/>
            <w:noWrap/>
            <w:hideMark/>
          </w:tcPr>
          <w:p w14:paraId="66E056EB" w14:textId="77777777" w:rsidR="00C54BE9" w:rsidRPr="00C54BE9" w:rsidRDefault="00C54BE9" w:rsidP="00C54BE9">
            <w:pPr>
              <w:spacing w:after="0" w:line="240" w:lineRule="auto"/>
              <w:jc w:val="left"/>
              <w:rPr>
                <w:b/>
                <w:bCs/>
              </w:rPr>
            </w:pPr>
            <w:r w:rsidRPr="00C54BE9">
              <w:rPr>
                <w:b/>
                <w:bCs/>
              </w:rPr>
              <w:t>Q2</w:t>
            </w:r>
          </w:p>
        </w:tc>
        <w:tc>
          <w:tcPr>
            <w:tcW w:w="1440" w:type="dxa"/>
            <w:shd w:val="clear" w:color="auto" w:fill="DBE5F1" w:themeFill="accent1" w:themeFillTint="33"/>
            <w:noWrap/>
            <w:hideMark/>
          </w:tcPr>
          <w:p w14:paraId="47736457" w14:textId="77777777" w:rsidR="00C54BE9" w:rsidRPr="00C54BE9" w:rsidRDefault="00C54BE9" w:rsidP="00C54BE9">
            <w:pPr>
              <w:spacing w:after="0" w:line="240" w:lineRule="auto"/>
              <w:jc w:val="left"/>
              <w:rPr>
                <w:b/>
                <w:bCs/>
              </w:rPr>
            </w:pPr>
            <w:r w:rsidRPr="00C54BE9">
              <w:rPr>
                <w:b/>
                <w:bCs/>
              </w:rPr>
              <w:t>Q3</w:t>
            </w:r>
          </w:p>
        </w:tc>
        <w:tc>
          <w:tcPr>
            <w:tcW w:w="1400" w:type="dxa"/>
            <w:shd w:val="clear" w:color="auto" w:fill="DBE5F1" w:themeFill="accent1" w:themeFillTint="33"/>
            <w:noWrap/>
            <w:hideMark/>
          </w:tcPr>
          <w:p w14:paraId="30DD37D2" w14:textId="77777777" w:rsidR="00C54BE9" w:rsidRPr="00C54BE9" w:rsidRDefault="00C54BE9" w:rsidP="00C54BE9">
            <w:pPr>
              <w:spacing w:after="0" w:line="240" w:lineRule="auto"/>
              <w:jc w:val="left"/>
              <w:rPr>
                <w:b/>
                <w:bCs/>
              </w:rPr>
            </w:pPr>
            <w:r w:rsidRPr="00C54BE9">
              <w:rPr>
                <w:b/>
                <w:bCs/>
              </w:rPr>
              <w:t>Q4</w:t>
            </w:r>
          </w:p>
        </w:tc>
      </w:tr>
      <w:tr w:rsidR="00C54BE9" w:rsidRPr="00C54BE9" w14:paraId="4CABBA00" w14:textId="77777777" w:rsidTr="00175889">
        <w:trPr>
          <w:trHeight w:val="300"/>
        </w:trPr>
        <w:tc>
          <w:tcPr>
            <w:tcW w:w="1885" w:type="dxa"/>
            <w:shd w:val="clear" w:color="auto" w:fill="EEF3F8"/>
            <w:hideMark/>
          </w:tcPr>
          <w:p w14:paraId="44E250D6"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3943F1D7" w14:textId="77777777" w:rsidR="00C54BE9" w:rsidRPr="00C54BE9" w:rsidRDefault="00C54BE9" w:rsidP="00C54BE9">
            <w:pPr>
              <w:spacing w:after="0" w:line="240" w:lineRule="auto"/>
              <w:jc w:val="left"/>
            </w:pPr>
            <w:r w:rsidRPr="00C54BE9">
              <w:t xml:space="preserve">Camps: Complete FY2022 PING camp </w:t>
            </w:r>
          </w:p>
        </w:tc>
        <w:tc>
          <w:tcPr>
            <w:tcW w:w="1620" w:type="dxa"/>
            <w:shd w:val="clear" w:color="auto" w:fill="EEF3F8"/>
            <w:noWrap/>
            <w:hideMark/>
          </w:tcPr>
          <w:p w14:paraId="7EA1A59C"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1A5B5014"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3C1BD33A"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1283283F" w14:textId="77777777" w:rsidR="00C54BE9" w:rsidRPr="00C54BE9" w:rsidRDefault="00C54BE9" w:rsidP="00C54BE9">
            <w:pPr>
              <w:spacing w:after="0" w:line="240" w:lineRule="auto"/>
              <w:jc w:val="left"/>
            </w:pPr>
            <w:r w:rsidRPr="00C54BE9">
              <w:t>EPO.1</w:t>
            </w:r>
          </w:p>
        </w:tc>
      </w:tr>
      <w:tr w:rsidR="00C54BE9" w:rsidRPr="00C54BE9" w14:paraId="157EAB48" w14:textId="77777777" w:rsidTr="00175889">
        <w:trPr>
          <w:trHeight w:val="300"/>
        </w:trPr>
        <w:tc>
          <w:tcPr>
            <w:tcW w:w="1885" w:type="dxa"/>
            <w:shd w:val="clear" w:color="auto" w:fill="EEF3F8"/>
            <w:hideMark/>
          </w:tcPr>
          <w:p w14:paraId="730B65EB"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1751D2FF" w14:textId="77777777" w:rsidR="00C54BE9" w:rsidRPr="00C54BE9" w:rsidRDefault="00C54BE9" w:rsidP="00C54BE9">
            <w:pPr>
              <w:spacing w:after="0" w:line="240" w:lineRule="auto"/>
              <w:jc w:val="left"/>
            </w:pPr>
            <w:r w:rsidRPr="00C54BE9">
              <w:t>Camps: WVGSI Governors School</w:t>
            </w:r>
          </w:p>
        </w:tc>
        <w:tc>
          <w:tcPr>
            <w:tcW w:w="1620" w:type="dxa"/>
            <w:shd w:val="clear" w:color="auto" w:fill="EEF3F8"/>
            <w:noWrap/>
            <w:hideMark/>
          </w:tcPr>
          <w:p w14:paraId="39184665"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3516EA6"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160ECDF8"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510059B7" w14:textId="77777777" w:rsidR="00C54BE9" w:rsidRPr="00C54BE9" w:rsidRDefault="00C54BE9" w:rsidP="00C54BE9">
            <w:pPr>
              <w:spacing w:after="0" w:line="240" w:lineRule="auto"/>
              <w:jc w:val="left"/>
            </w:pPr>
            <w:r w:rsidRPr="00C54BE9">
              <w:t>EPO.2</w:t>
            </w:r>
          </w:p>
        </w:tc>
      </w:tr>
      <w:tr w:rsidR="00C54BE9" w:rsidRPr="00C54BE9" w14:paraId="719869F4" w14:textId="77777777" w:rsidTr="00175889">
        <w:trPr>
          <w:trHeight w:val="300"/>
        </w:trPr>
        <w:tc>
          <w:tcPr>
            <w:tcW w:w="1885" w:type="dxa"/>
            <w:shd w:val="clear" w:color="auto" w:fill="EEF3F8"/>
            <w:hideMark/>
          </w:tcPr>
          <w:p w14:paraId="377DAEEA"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6BAC24F7" w14:textId="77777777" w:rsidR="00C54BE9" w:rsidRPr="00C54BE9" w:rsidRDefault="00C54BE9" w:rsidP="00C54BE9">
            <w:pPr>
              <w:spacing w:after="0" w:line="240" w:lineRule="auto"/>
              <w:jc w:val="left"/>
            </w:pPr>
            <w:r w:rsidRPr="00C54BE9">
              <w:t>Camps: Pulsar Search Collaboratory</w:t>
            </w:r>
          </w:p>
        </w:tc>
        <w:tc>
          <w:tcPr>
            <w:tcW w:w="1620" w:type="dxa"/>
            <w:shd w:val="clear" w:color="auto" w:fill="EEF3F8"/>
            <w:noWrap/>
            <w:hideMark/>
          </w:tcPr>
          <w:p w14:paraId="46130F64"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64424C50"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5E7682DC"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03871E0C" w14:textId="77777777" w:rsidR="00C54BE9" w:rsidRPr="00C54BE9" w:rsidRDefault="00C54BE9" w:rsidP="00C54BE9">
            <w:pPr>
              <w:spacing w:after="0" w:line="240" w:lineRule="auto"/>
              <w:jc w:val="left"/>
            </w:pPr>
            <w:r w:rsidRPr="00C54BE9">
              <w:t>EPO.3</w:t>
            </w:r>
          </w:p>
        </w:tc>
      </w:tr>
      <w:tr w:rsidR="00C54BE9" w:rsidRPr="00C54BE9" w14:paraId="5342D328" w14:textId="77777777" w:rsidTr="00175889">
        <w:trPr>
          <w:trHeight w:val="300"/>
        </w:trPr>
        <w:tc>
          <w:tcPr>
            <w:tcW w:w="1885" w:type="dxa"/>
            <w:shd w:val="clear" w:color="auto" w:fill="EEF3F8"/>
            <w:hideMark/>
          </w:tcPr>
          <w:p w14:paraId="7F25AD4C"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63763FF5" w14:textId="77777777" w:rsidR="00C54BE9" w:rsidRPr="00C54BE9" w:rsidRDefault="00C54BE9" w:rsidP="00C54BE9">
            <w:pPr>
              <w:spacing w:after="0" w:line="240" w:lineRule="auto"/>
              <w:jc w:val="left"/>
            </w:pPr>
            <w:r w:rsidRPr="00C54BE9">
              <w:t>Summer Student Program (REU, PING, Interns)</w:t>
            </w:r>
          </w:p>
        </w:tc>
        <w:tc>
          <w:tcPr>
            <w:tcW w:w="1620" w:type="dxa"/>
            <w:shd w:val="clear" w:color="auto" w:fill="EEF3F8"/>
            <w:noWrap/>
            <w:hideMark/>
          </w:tcPr>
          <w:p w14:paraId="4A8083E1"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3F501B77"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F3A7E11"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02034A37" w14:textId="77777777" w:rsidR="00C54BE9" w:rsidRPr="00C54BE9" w:rsidRDefault="00C54BE9" w:rsidP="00C54BE9">
            <w:pPr>
              <w:spacing w:after="0" w:line="240" w:lineRule="auto"/>
              <w:jc w:val="left"/>
            </w:pPr>
            <w:r w:rsidRPr="00C54BE9">
              <w:t>EPO.4</w:t>
            </w:r>
          </w:p>
        </w:tc>
      </w:tr>
      <w:tr w:rsidR="00C54BE9" w:rsidRPr="00C54BE9" w14:paraId="6B902996" w14:textId="77777777" w:rsidTr="00175889">
        <w:trPr>
          <w:trHeight w:val="300"/>
        </w:trPr>
        <w:tc>
          <w:tcPr>
            <w:tcW w:w="1885" w:type="dxa"/>
            <w:shd w:val="clear" w:color="auto" w:fill="EEF3F8"/>
            <w:hideMark/>
          </w:tcPr>
          <w:p w14:paraId="45AB81B2"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5F9B642D" w14:textId="77777777" w:rsidR="00C54BE9" w:rsidRPr="00C54BE9" w:rsidRDefault="00C54BE9" w:rsidP="00C54BE9">
            <w:pPr>
              <w:spacing w:after="0" w:line="240" w:lineRule="auto"/>
              <w:jc w:val="left"/>
            </w:pPr>
            <w:r w:rsidRPr="00C54BE9">
              <w:t>Outreach: Pocahontas County Math Field Day</w:t>
            </w:r>
          </w:p>
        </w:tc>
        <w:tc>
          <w:tcPr>
            <w:tcW w:w="1620" w:type="dxa"/>
            <w:shd w:val="clear" w:color="auto" w:fill="EEF3F8"/>
            <w:noWrap/>
            <w:hideMark/>
          </w:tcPr>
          <w:p w14:paraId="675EFC5E" w14:textId="77777777" w:rsidR="00C54BE9" w:rsidRPr="00C54BE9" w:rsidRDefault="00C54BE9" w:rsidP="00C54BE9">
            <w:pPr>
              <w:spacing w:after="0" w:line="240" w:lineRule="auto"/>
              <w:jc w:val="left"/>
            </w:pPr>
            <w:r w:rsidRPr="00C54BE9">
              <w:t>EPO.5</w:t>
            </w:r>
          </w:p>
        </w:tc>
        <w:tc>
          <w:tcPr>
            <w:tcW w:w="1440" w:type="dxa"/>
            <w:shd w:val="clear" w:color="auto" w:fill="EEF3F8"/>
            <w:noWrap/>
            <w:hideMark/>
          </w:tcPr>
          <w:p w14:paraId="4204A32D"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46F4C6F2"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37810456" w14:textId="77777777" w:rsidR="00C54BE9" w:rsidRPr="00C54BE9" w:rsidRDefault="00C54BE9" w:rsidP="00C54BE9">
            <w:pPr>
              <w:spacing w:after="0" w:line="240" w:lineRule="auto"/>
              <w:jc w:val="left"/>
            </w:pPr>
            <w:r w:rsidRPr="00C54BE9">
              <w:t> </w:t>
            </w:r>
          </w:p>
        </w:tc>
      </w:tr>
      <w:tr w:rsidR="00C54BE9" w:rsidRPr="00C54BE9" w14:paraId="5216A8A1" w14:textId="77777777" w:rsidTr="00175889">
        <w:trPr>
          <w:trHeight w:val="300"/>
        </w:trPr>
        <w:tc>
          <w:tcPr>
            <w:tcW w:w="1885" w:type="dxa"/>
            <w:shd w:val="clear" w:color="auto" w:fill="EEF3F8"/>
            <w:hideMark/>
          </w:tcPr>
          <w:p w14:paraId="1498513C"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32713A72" w14:textId="77777777" w:rsidR="00C54BE9" w:rsidRPr="00C54BE9" w:rsidRDefault="00C54BE9" w:rsidP="00C54BE9">
            <w:pPr>
              <w:spacing w:after="0" w:line="240" w:lineRule="auto"/>
              <w:jc w:val="left"/>
            </w:pPr>
            <w:r w:rsidRPr="00C54BE9">
              <w:t>Teachers: professional development programs</w:t>
            </w:r>
          </w:p>
        </w:tc>
        <w:tc>
          <w:tcPr>
            <w:tcW w:w="1620" w:type="dxa"/>
            <w:shd w:val="clear" w:color="auto" w:fill="EEF3F8"/>
            <w:noWrap/>
            <w:hideMark/>
          </w:tcPr>
          <w:p w14:paraId="3CDC047A" w14:textId="77777777" w:rsidR="00C54BE9" w:rsidRPr="00C54BE9" w:rsidRDefault="00C54BE9" w:rsidP="00C54BE9">
            <w:pPr>
              <w:spacing w:after="0" w:line="240" w:lineRule="auto"/>
              <w:jc w:val="left"/>
            </w:pPr>
            <w:r w:rsidRPr="00C54BE9">
              <w:t>EPO.6</w:t>
            </w:r>
          </w:p>
        </w:tc>
        <w:tc>
          <w:tcPr>
            <w:tcW w:w="1440" w:type="dxa"/>
            <w:shd w:val="clear" w:color="auto" w:fill="EEF3F8"/>
            <w:noWrap/>
            <w:hideMark/>
          </w:tcPr>
          <w:p w14:paraId="5FA486B9" w14:textId="77777777" w:rsidR="00C54BE9" w:rsidRPr="00C54BE9" w:rsidRDefault="00C54BE9" w:rsidP="00C54BE9">
            <w:pPr>
              <w:spacing w:after="0" w:line="240" w:lineRule="auto"/>
              <w:jc w:val="left"/>
            </w:pPr>
            <w:r w:rsidRPr="00C54BE9">
              <w:t>EPO.6</w:t>
            </w:r>
          </w:p>
        </w:tc>
        <w:tc>
          <w:tcPr>
            <w:tcW w:w="1440" w:type="dxa"/>
            <w:shd w:val="clear" w:color="auto" w:fill="EEF3F8"/>
            <w:noWrap/>
            <w:hideMark/>
          </w:tcPr>
          <w:p w14:paraId="45D14F35" w14:textId="77777777" w:rsidR="00C54BE9" w:rsidRPr="00C54BE9" w:rsidRDefault="00C54BE9" w:rsidP="00C54BE9">
            <w:pPr>
              <w:spacing w:after="0" w:line="240" w:lineRule="auto"/>
              <w:jc w:val="left"/>
            </w:pPr>
            <w:r w:rsidRPr="00C54BE9">
              <w:t>EPO.6</w:t>
            </w:r>
          </w:p>
        </w:tc>
        <w:tc>
          <w:tcPr>
            <w:tcW w:w="1400" w:type="dxa"/>
            <w:shd w:val="clear" w:color="auto" w:fill="EEF3F8"/>
            <w:noWrap/>
            <w:hideMark/>
          </w:tcPr>
          <w:p w14:paraId="09D88298" w14:textId="77777777" w:rsidR="00C54BE9" w:rsidRPr="00C54BE9" w:rsidRDefault="00C54BE9" w:rsidP="00C54BE9">
            <w:pPr>
              <w:spacing w:after="0" w:line="240" w:lineRule="auto"/>
              <w:jc w:val="left"/>
            </w:pPr>
            <w:r w:rsidRPr="00C54BE9">
              <w:t> </w:t>
            </w:r>
          </w:p>
        </w:tc>
      </w:tr>
      <w:tr w:rsidR="00C54BE9" w:rsidRPr="00C54BE9" w14:paraId="41007D97" w14:textId="77777777" w:rsidTr="00175889">
        <w:trPr>
          <w:trHeight w:val="300"/>
        </w:trPr>
        <w:tc>
          <w:tcPr>
            <w:tcW w:w="1885" w:type="dxa"/>
            <w:shd w:val="clear" w:color="auto" w:fill="EEF3F8"/>
            <w:hideMark/>
          </w:tcPr>
          <w:p w14:paraId="4A501728"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7D953E3B" w14:textId="77777777" w:rsidR="00C54BE9" w:rsidRPr="00C54BE9" w:rsidRDefault="00C54BE9" w:rsidP="00C54BE9">
            <w:pPr>
              <w:spacing w:after="0" w:line="240" w:lineRule="auto"/>
              <w:jc w:val="left"/>
            </w:pPr>
            <w:r w:rsidRPr="00C54BE9">
              <w:t>Outreach: Family Science Labs</w:t>
            </w:r>
          </w:p>
        </w:tc>
        <w:tc>
          <w:tcPr>
            <w:tcW w:w="1620" w:type="dxa"/>
            <w:shd w:val="clear" w:color="auto" w:fill="EEF3F8"/>
            <w:noWrap/>
            <w:hideMark/>
          </w:tcPr>
          <w:p w14:paraId="6181626E" w14:textId="77777777" w:rsidR="00C54BE9" w:rsidRPr="00C54BE9" w:rsidRDefault="00C54BE9" w:rsidP="00C54BE9">
            <w:pPr>
              <w:spacing w:after="0" w:line="240" w:lineRule="auto"/>
              <w:jc w:val="left"/>
            </w:pPr>
            <w:r w:rsidRPr="00C54BE9">
              <w:t>EPO.7</w:t>
            </w:r>
          </w:p>
        </w:tc>
        <w:tc>
          <w:tcPr>
            <w:tcW w:w="1440" w:type="dxa"/>
            <w:shd w:val="clear" w:color="auto" w:fill="EEF3F8"/>
            <w:noWrap/>
            <w:hideMark/>
          </w:tcPr>
          <w:p w14:paraId="3BA9FFAF" w14:textId="77777777" w:rsidR="00C54BE9" w:rsidRPr="00C54BE9" w:rsidRDefault="00C54BE9" w:rsidP="00C54BE9">
            <w:pPr>
              <w:spacing w:after="0" w:line="240" w:lineRule="auto"/>
              <w:jc w:val="left"/>
            </w:pPr>
            <w:r w:rsidRPr="00C54BE9">
              <w:t>EPO.7</w:t>
            </w:r>
          </w:p>
        </w:tc>
        <w:tc>
          <w:tcPr>
            <w:tcW w:w="1440" w:type="dxa"/>
            <w:shd w:val="clear" w:color="auto" w:fill="EEF3F8"/>
            <w:noWrap/>
            <w:hideMark/>
          </w:tcPr>
          <w:p w14:paraId="03C2C1BB" w14:textId="77777777" w:rsidR="00C54BE9" w:rsidRPr="00C54BE9" w:rsidRDefault="00C54BE9" w:rsidP="00C54BE9">
            <w:pPr>
              <w:spacing w:after="0" w:line="240" w:lineRule="auto"/>
              <w:jc w:val="left"/>
            </w:pPr>
            <w:r w:rsidRPr="00C54BE9">
              <w:t>EPO.7</w:t>
            </w:r>
          </w:p>
        </w:tc>
        <w:tc>
          <w:tcPr>
            <w:tcW w:w="1400" w:type="dxa"/>
            <w:shd w:val="clear" w:color="auto" w:fill="EEF3F8"/>
            <w:noWrap/>
            <w:hideMark/>
          </w:tcPr>
          <w:p w14:paraId="618EDEA6" w14:textId="77777777" w:rsidR="00C54BE9" w:rsidRPr="00C54BE9" w:rsidRDefault="00C54BE9" w:rsidP="00C54BE9">
            <w:pPr>
              <w:spacing w:after="0" w:line="240" w:lineRule="auto"/>
              <w:jc w:val="left"/>
            </w:pPr>
            <w:r w:rsidRPr="00C54BE9">
              <w:t>EPO.7</w:t>
            </w:r>
          </w:p>
        </w:tc>
      </w:tr>
      <w:tr w:rsidR="00C54BE9" w:rsidRPr="00C54BE9" w14:paraId="0733F239" w14:textId="77777777" w:rsidTr="00175889">
        <w:trPr>
          <w:trHeight w:val="300"/>
        </w:trPr>
        <w:tc>
          <w:tcPr>
            <w:tcW w:w="1885" w:type="dxa"/>
            <w:shd w:val="clear" w:color="auto" w:fill="EEF3F8"/>
            <w:hideMark/>
          </w:tcPr>
          <w:p w14:paraId="4ADEEA4A"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64CEE9F4" w14:textId="77777777" w:rsidR="00C54BE9" w:rsidRPr="00C54BE9" w:rsidRDefault="00C54BE9" w:rsidP="00C54BE9">
            <w:pPr>
              <w:spacing w:after="0" w:line="240" w:lineRule="auto"/>
              <w:jc w:val="left"/>
            </w:pPr>
            <w:r w:rsidRPr="00C54BE9">
              <w:t>Outreach: Radio Astronomer for a Day</w:t>
            </w:r>
          </w:p>
        </w:tc>
        <w:tc>
          <w:tcPr>
            <w:tcW w:w="1620" w:type="dxa"/>
            <w:shd w:val="clear" w:color="auto" w:fill="EEF3F8"/>
            <w:noWrap/>
            <w:hideMark/>
          </w:tcPr>
          <w:p w14:paraId="70F22402" w14:textId="77777777" w:rsidR="00C54BE9" w:rsidRPr="00C54BE9" w:rsidRDefault="00C54BE9" w:rsidP="00C54BE9">
            <w:pPr>
              <w:spacing w:after="0" w:line="240" w:lineRule="auto"/>
              <w:jc w:val="left"/>
            </w:pPr>
            <w:r w:rsidRPr="00C54BE9">
              <w:t>EPO.8</w:t>
            </w:r>
          </w:p>
        </w:tc>
        <w:tc>
          <w:tcPr>
            <w:tcW w:w="1440" w:type="dxa"/>
            <w:shd w:val="clear" w:color="auto" w:fill="EEF3F8"/>
            <w:noWrap/>
            <w:hideMark/>
          </w:tcPr>
          <w:p w14:paraId="145C4FEC" w14:textId="77777777" w:rsidR="00C54BE9" w:rsidRPr="00C54BE9" w:rsidRDefault="00C54BE9" w:rsidP="00C54BE9">
            <w:pPr>
              <w:spacing w:after="0" w:line="240" w:lineRule="auto"/>
              <w:jc w:val="left"/>
            </w:pPr>
            <w:r w:rsidRPr="00C54BE9">
              <w:t>EPO.8</w:t>
            </w:r>
          </w:p>
        </w:tc>
        <w:tc>
          <w:tcPr>
            <w:tcW w:w="1440" w:type="dxa"/>
            <w:shd w:val="clear" w:color="auto" w:fill="EEF3F8"/>
            <w:noWrap/>
            <w:hideMark/>
          </w:tcPr>
          <w:p w14:paraId="3472D97E" w14:textId="77777777" w:rsidR="00C54BE9" w:rsidRPr="00C54BE9" w:rsidRDefault="00C54BE9" w:rsidP="00C54BE9">
            <w:pPr>
              <w:spacing w:after="0" w:line="240" w:lineRule="auto"/>
              <w:jc w:val="left"/>
            </w:pPr>
            <w:r w:rsidRPr="00C54BE9">
              <w:t>EPO.8</w:t>
            </w:r>
          </w:p>
        </w:tc>
        <w:tc>
          <w:tcPr>
            <w:tcW w:w="1400" w:type="dxa"/>
            <w:shd w:val="clear" w:color="auto" w:fill="EEF3F8"/>
            <w:noWrap/>
            <w:hideMark/>
          </w:tcPr>
          <w:p w14:paraId="350E7890" w14:textId="77777777" w:rsidR="00C54BE9" w:rsidRPr="00C54BE9" w:rsidRDefault="00C54BE9" w:rsidP="00C54BE9">
            <w:pPr>
              <w:spacing w:after="0" w:line="240" w:lineRule="auto"/>
              <w:jc w:val="left"/>
            </w:pPr>
            <w:r w:rsidRPr="00C54BE9">
              <w:t>EPO.8</w:t>
            </w:r>
          </w:p>
        </w:tc>
      </w:tr>
      <w:tr w:rsidR="00C54BE9" w:rsidRPr="00C54BE9" w14:paraId="59F1E16D" w14:textId="77777777" w:rsidTr="00175889">
        <w:trPr>
          <w:trHeight w:val="300"/>
        </w:trPr>
        <w:tc>
          <w:tcPr>
            <w:tcW w:w="1885" w:type="dxa"/>
            <w:shd w:val="clear" w:color="auto" w:fill="EEF3F8"/>
            <w:hideMark/>
          </w:tcPr>
          <w:p w14:paraId="6EE03A3D"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2B272595" w14:textId="77777777" w:rsidR="00C54BE9" w:rsidRPr="00C54BE9" w:rsidRDefault="00C54BE9" w:rsidP="00C54BE9">
            <w:pPr>
              <w:spacing w:after="0" w:line="240" w:lineRule="auto"/>
              <w:jc w:val="left"/>
            </w:pPr>
            <w:r w:rsidRPr="00C54BE9">
              <w:t>Outreach: High Tech Tours</w:t>
            </w:r>
          </w:p>
        </w:tc>
        <w:tc>
          <w:tcPr>
            <w:tcW w:w="1620" w:type="dxa"/>
            <w:shd w:val="clear" w:color="auto" w:fill="EEF3F8"/>
            <w:noWrap/>
            <w:hideMark/>
          </w:tcPr>
          <w:p w14:paraId="17D97C81" w14:textId="77777777" w:rsidR="00C54BE9" w:rsidRPr="00C54BE9" w:rsidRDefault="00C54BE9" w:rsidP="00C54BE9">
            <w:pPr>
              <w:spacing w:after="0" w:line="240" w:lineRule="auto"/>
              <w:jc w:val="left"/>
            </w:pPr>
            <w:r w:rsidRPr="00C54BE9">
              <w:t>EPO.9</w:t>
            </w:r>
          </w:p>
        </w:tc>
        <w:tc>
          <w:tcPr>
            <w:tcW w:w="1440" w:type="dxa"/>
            <w:shd w:val="clear" w:color="auto" w:fill="EEF3F8"/>
            <w:noWrap/>
            <w:hideMark/>
          </w:tcPr>
          <w:p w14:paraId="0D8A1D42" w14:textId="77777777" w:rsidR="00C54BE9" w:rsidRPr="00C54BE9" w:rsidRDefault="00C54BE9" w:rsidP="00C54BE9">
            <w:pPr>
              <w:spacing w:after="0" w:line="240" w:lineRule="auto"/>
              <w:jc w:val="left"/>
            </w:pPr>
            <w:r w:rsidRPr="00C54BE9">
              <w:t>EPO.9</w:t>
            </w:r>
          </w:p>
        </w:tc>
        <w:tc>
          <w:tcPr>
            <w:tcW w:w="1440" w:type="dxa"/>
            <w:shd w:val="clear" w:color="auto" w:fill="EEF3F8"/>
            <w:noWrap/>
            <w:hideMark/>
          </w:tcPr>
          <w:p w14:paraId="06912FE4" w14:textId="77777777" w:rsidR="00C54BE9" w:rsidRPr="00C54BE9" w:rsidRDefault="00C54BE9" w:rsidP="00C54BE9">
            <w:pPr>
              <w:spacing w:after="0" w:line="240" w:lineRule="auto"/>
              <w:jc w:val="left"/>
            </w:pPr>
            <w:r w:rsidRPr="00C54BE9">
              <w:t>EPO.9</w:t>
            </w:r>
          </w:p>
        </w:tc>
        <w:tc>
          <w:tcPr>
            <w:tcW w:w="1400" w:type="dxa"/>
            <w:shd w:val="clear" w:color="auto" w:fill="EEF3F8"/>
            <w:noWrap/>
            <w:hideMark/>
          </w:tcPr>
          <w:p w14:paraId="0AE6F92D" w14:textId="77777777" w:rsidR="00C54BE9" w:rsidRPr="00C54BE9" w:rsidRDefault="00C54BE9" w:rsidP="00C54BE9">
            <w:pPr>
              <w:spacing w:after="0" w:line="240" w:lineRule="auto"/>
              <w:jc w:val="left"/>
            </w:pPr>
            <w:r w:rsidRPr="00C54BE9">
              <w:t>EPO.9</w:t>
            </w:r>
          </w:p>
        </w:tc>
      </w:tr>
      <w:tr w:rsidR="00C54BE9" w:rsidRPr="00C54BE9" w14:paraId="791A973F" w14:textId="77777777" w:rsidTr="00175889">
        <w:trPr>
          <w:trHeight w:val="300"/>
        </w:trPr>
        <w:tc>
          <w:tcPr>
            <w:tcW w:w="1885" w:type="dxa"/>
            <w:shd w:val="clear" w:color="auto" w:fill="EEF3F8"/>
            <w:hideMark/>
          </w:tcPr>
          <w:p w14:paraId="2F6207A3"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5ECBC76A" w14:textId="77777777" w:rsidR="00C54BE9" w:rsidRPr="00C54BE9" w:rsidRDefault="00C54BE9" w:rsidP="00C54BE9">
            <w:pPr>
              <w:spacing w:after="0" w:line="240" w:lineRule="auto"/>
              <w:jc w:val="left"/>
            </w:pPr>
            <w:r w:rsidRPr="00C54BE9">
              <w:t>Outreach: Monthly Star Parties (10)</w:t>
            </w:r>
          </w:p>
        </w:tc>
        <w:tc>
          <w:tcPr>
            <w:tcW w:w="1620" w:type="dxa"/>
            <w:shd w:val="clear" w:color="auto" w:fill="EEF3F8"/>
            <w:noWrap/>
            <w:hideMark/>
          </w:tcPr>
          <w:p w14:paraId="4AAE071F" w14:textId="77777777" w:rsidR="00C54BE9" w:rsidRPr="00C54BE9" w:rsidRDefault="00C54BE9" w:rsidP="00C54BE9">
            <w:pPr>
              <w:spacing w:after="0" w:line="240" w:lineRule="auto"/>
              <w:jc w:val="left"/>
            </w:pPr>
            <w:r w:rsidRPr="00C54BE9">
              <w:t>EPO.10</w:t>
            </w:r>
          </w:p>
        </w:tc>
        <w:tc>
          <w:tcPr>
            <w:tcW w:w="1440" w:type="dxa"/>
            <w:shd w:val="clear" w:color="auto" w:fill="EEF3F8"/>
            <w:noWrap/>
            <w:hideMark/>
          </w:tcPr>
          <w:p w14:paraId="11541365" w14:textId="77777777" w:rsidR="00C54BE9" w:rsidRPr="00C54BE9" w:rsidRDefault="00C54BE9" w:rsidP="00C54BE9">
            <w:pPr>
              <w:spacing w:after="0" w:line="240" w:lineRule="auto"/>
              <w:jc w:val="left"/>
            </w:pPr>
            <w:r w:rsidRPr="00C54BE9">
              <w:t>EPO.10</w:t>
            </w:r>
          </w:p>
        </w:tc>
        <w:tc>
          <w:tcPr>
            <w:tcW w:w="1440" w:type="dxa"/>
            <w:shd w:val="clear" w:color="auto" w:fill="EEF3F8"/>
            <w:noWrap/>
            <w:hideMark/>
          </w:tcPr>
          <w:p w14:paraId="6178C914" w14:textId="77777777" w:rsidR="00C54BE9" w:rsidRPr="00C54BE9" w:rsidRDefault="00C54BE9" w:rsidP="00C54BE9">
            <w:pPr>
              <w:spacing w:after="0" w:line="240" w:lineRule="auto"/>
              <w:jc w:val="left"/>
            </w:pPr>
            <w:r w:rsidRPr="00C54BE9">
              <w:t>EPO.10</w:t>
            </w:r>
          </w:p>
        </w:tc>
        <w:tc>
          <w:tcPr>
            <w:tcW w:w="1400" w:type="dxa"/>
            <w:shd w:val="clear" w:color="auto" w:fill="EEF3F8"/>
            <w:noWrap/>
            <w:hideMark/>
          </w:tcPr>
          <w:p w14:paraId="71C6F7BA" w14:textId="77777777" w:rsidR="00C54BE9" w:rsidRPr="00C54BE9" w:rsidRDefault="00C54BE9" w:rsidP="00C54BE9">
            <w:pPr>
              <w:spacing w:after="0" w:line="240" w:lineRule="auto"/>
              <w:jc w:val="left"/>
            </w:pPr>
            <w:r w:rsidRPr="00C54BE9">
              <w:t>EPO.10</w:t>
            </w:r>
          </w:p>
        </w:tc>
      </w:tr>
      <w:tr w:rsidR="00C54BE9" w:rsidRPr="00C54BE9" w14:paraId="18677D2C" w14:textId="77777777" w:rsidTr="00175889">
        <w:trPr>
          <w:trHeight w:val="300"/>
        </w:trPr>
        <w:tc>
          <w:tcPr>
            <w:tcW w:w="1885" w:type="dxa"/>
            <w:shd w:val="clear" w:color="auto" w:fill="EEF3F8"/>
            <w:hideMark/>
          </w:tcPr>
          <w:p w14:paraId="0C2955AF"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28C8CF8D" w14:textId="77777777" w:rsidR="00C54BE9" w:rsidRPr="00C54BE9" w:rsidRDefault="00C54BE9" w:rsidP="00C54BE9">
            <w:pPr>
              <w:spacing w:after="0" w:line="240" w:lineRule="auto"/>
              <w:jc w:val="left"/>
            </w:pPr>
            <w:r w:rsidRPr="00C54BE9">
              <w:t>Outreach: Pocahontas County Schools Science Fair</w:t>
            </w:r>
          </w:p>
        </w:tc>
        <w:tc>
          <w:tcPr>
            <w:tcW w:w="1620" w:type="dxa"/>
            <w:shd w:val="clear" w:color="auto" w:fill="EEF3F8"/>
            <w:noWrap/>
            <w:hideMark/>
          </w:tcPr>
          <w:p w14:paraId="3ACF17CF"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35D133E5" w14:textId="77777777" w:rsidR="00C54BE9" w:rsidRPr="00C54BE9" w:rsidRDefault="00C54BE9" w:rsidP="00C54BE9">
            <w:pPr>
              <w:spacing w:after="0" w:line="240" w:lineRule="auto"/>
              <w:jc w:val="left"/>
            </w:pPr>
            <w:r w:rsidRPr="00C54BE9">
              <w:t>EPO.11</w:t>
            </w:r>
          </w:p>
        </w:tc>
        <w:tc>
          <w:tcPr>
            <w:tcW w:w="1440" w:type="dxa"/>
            <w:shd w:val="clear" w:color="auto" w:fill="EEF3F8"/>
            <w:noWrap/>
            <w:hideMark/>
          </w:tcPr>
          <w:p w14:paraId="35C0ADE9"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3BDC95B1" w14:textId="77777777" w:rsidR="00C54BE9" w:rsidRPr="00C54BE9" w:rsidRDefault="00C54BE9" w:rsidP="00C54BE9">
            <w:pPr>
              <w:spacing w:after="0" w:line="240" w:lineRule="auto"/>
              <w:jc w:val="left"/>
            </w:pPr>
            <w:r w:rsidRPr="00C54BE9">
              <w:t> </w:t>
            </w:r>
          </w:p>
        </w:tc>
      </w:tr>
      <w:tr w:rsidR="00C54BE9" w:rsidRPr="00C54BE9" w14:paraId="17091470" w14:textId="77777777" w:rsidTr="00175889">
        <w:trPr>
          <w:trHeight w:val="300"/>
        </w:trPr>
        <w:tc>
          <w:tcPr>
            <w:tcW w:w="1885" w:type="dxa"/>
            <w:shd w:val="clear" w:color="auto" w:fill="EEF3F8"/>
            <w:hideMark/>
          </w:tcPr>
          <w:p w14:paraId="5539BA9A"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22B899F0" w14:textId="77777777" w:rsidR="00C54BE9" w:rsidRPr="00C54BE9" w:rsidRDefault="00C54BE9" w:rsidP="00C54BE9">
            <w:pPr>
              <w:spacing w:after="0" w:line="240" w:lineRule="auto"/>
              <w:jc w:val="left"/>
            </w:pPr>
            <w:r w:rsidRPr="00C54BE9">
              <w:t>Outreach: Hour of Code for county 9</w:t>
            </w:r>
            <w:r w:rsidRPr="00C54BE9">
              <w:rPr>
                <w:vertAlign w:val="superscript"/>
              </w:rPr>
              <w:t>th</w:t>
            </w:r>
            <w:r w:rsidRPr="00C54BE9">
              <w:t xml:space="preserve"> graders</w:t>
            </w:r>
          </w:p>
        </w:tc>
        <w:tc>
          <w:tcPr>
            <w:tcW w:w="1620" w:type="dxa"/>
            <w:shd w:val="clear" w:color="auto" w:fill="EEF3F8"/>
            <w:noWrap/>
            <w:hideMark/>
          </w:tcPr>
          <w:p w14:paraId="1EF6468F"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68FDA288"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6551194A" w14:textId="77777777" w:rsidR="00C54BE9" w:rsidRPr="00C54BE9" w:rsidRDefault="00C54BE9" w:rsidP="00C54BE9">
            <w:pPr>
              <w:spacing w:after="0" w:line="240" w:lineRule="auto"/>
              <w:jc w:val="left"/>
            </w:pPr>
            <w:r w:rsidRPr="00C54BE9">
              <w:t>EPO.12</w:t>
            </w:r>
          </w:p>
        </w:tc>
        <w:tc>
          <w:tcPr>
            <w:tcW w:w="1400" w:type="dxa"/>
            <w:shd w:val="clear" w:color="auto" w:fill="EEF3F8"/>
            <w:noWrap/>
            <w:hideMark/>
          </w:tcPr>
          <w:p w14:paraId="73441C92" w14:textId="77777777" w:rsidR="00C54BE9" w:rsidRPr="00C54BE9" w:rsidRDefault="00C54BE9" w:rsidP="00C54BE9">
            <w:pPr>
              <w:spacing w:after="0" w:line="240" w:lineRule="auto"/>
              <w:jc w:val="left"/>
            </w:pPr>
            <w:r w:rsidRPr="00C54BE9">
              <w:t> </w:t>
            </w:r>
          </w:p>
        </w:tc>
      </w:tr>
      <w:tr w:rsidR="00C54BE9" w:rsidRPr="00C54BE9" w14:paraId="36B9FE44" w14:textId="77777777" w:rsidTr="00175889">
        <w:trPr>
          <w:trHeight w:val="555"/>
        </w:trPr>
        <w:tc>
          <w:tcPr>
            <w:tcW w:w="1885" w:type="dxa"/>
            <w:shd w:val="clear" w:color="auto" w:fill="EEF3F8"/>
            <w:hideMark/>
          </w:tcPr>
          <w:p w14:paraId="5261C8DB" w14:textId="77777777" w:rsidR="00C54BE9" w:rsidRPr="00C54BE9" w:rsidRDefault="00C54BE9" w:rsidP="00C54BE9">
            <w:pPr>
              <w:spacing w:after="0" w:line="240" w:lineRule="auto"/>
              <w:jc w:val="left"/>
            </w:pPr>
            <w:r w:rsidRPr="00C54BE9">
              <w:t>Broader Impact</w:t>
            </w:r>
          </w:p>
        </w:tc>
        <w:tc>
          <w:tcPr>
            <w:tcW w:w="4950" w:type="dxa"/>
            <w:shd w:val="clear" w:color="auto" w:fill="EEF3F8"/>
            <w:hideMark/>
          </w:tcPr>
          <w:p w14:paraId="696B594C" w14:textId="77777777" w:rsidR="00940436" w:rsidRDefault="00C54BE9" w:rsidP="00C54BE9">
            <w:pPr>
              <w:spacing w:after="0" w:line="240" w:lineRule="auto"/>
              <w:jc w:val="left"/>
            </w:pPr>
            <w:r w:rsidRPr="00C54BE9">
              <w:t xml:space="preserve">Outreach: Replace Science Center Exhibits </w:t>
            </w:r>
          </w:p>
          <w:p w14:paraId="0C634DEE" w14:textId="65AE43C9" w:rsidR="00C54BE9" w:rsidRPr="00C54BE9" w:rsidRDefault="00C54BE9" w:rsidP="00C54BE9">
            <w:pPr>
              <w:spacing w:after="0" w:line="240" w:lineRule="auto"/>
              <w:jc w:val="left"/>
            </w:pPr>
            <w:r w:rsidRPr="00C54BE9">
              <w:t>(FY</w:t>
            </w:r>
            <w:r w:rsidR="00940436">
              <w:t>20</w:t>
            </w:r>
            <w:r w:rsidRPr="00C54BE9">
              <w:t>21 carry forward)</w:t>
            </w:r>
          </w:p>
        </w:tc>
        <w:tc>
          <w:tcPr>
            <w:tcW w:w="1620" w:type="dxa"/>
            <w:shd w:val="clear" w:color="auto" w:fill="EEF3F8"/>
            <w:hideMark/>
          </w:tcPr>
          <w:p w14:paraId="58B16B2B" w14:textId="77777777" w:rsidR="00C54BE9" w:rsidRPr="00C54BE9" w:rsidRDefault="00C54BE9" w:rsidP="00C54BE9">
            <w:pPr>
              <w:spacing w:after="0" w:line="240" w:lineRule="auto"/>
              <w:jc w:val="left"/>
            </w:pPr>
            <w:r w:rsidRPr="00C54BE9">
              <w:t> </w:t>
            </w:r>
          </w:p>
        </w:tc>
        <w:tc>
          <w:tcPr>
            <w:tcW w:w="1440" w:type="dxa"/>
            <w:shd w:val="clear" w:color="auto" w:fill="EEF3F8"/>
            <w:hideMark/>
          </w:tcPr>
          <w:p w14:paraId="296923F1" w14:textId="77777777" w:rsidR="00C54BE9" w:rsidRPr="00C54BE9" w:rsidRDefault="00C54BE9" w:rsidP="00C54BE9">
            <w:pPr>
              <w:spacing w:after="0" w:line="240" w:lineRule="auto"/>
              <w:jc w:val="left"/>
            </w:pPr>
            <w:r w:rsidRPr="00C54BE9">
              <w:t>EPO.13</w:t>
            </w:r>
          </w:p>
        </w:tc>
        <w:tc>
          <w:tcPr>
            <w:tcW w:w="1440" w:type="dxa"/>
            <w:shd w:val="clear" w:color="auto" w:fill="EEF3F8"/>
            <w:hideMark/>
          </w:tcPr>
          <w:p w14:paraId="4194ADCA" w14:textId="77777777" w:rsidR="00C54BE9" w:rsidRPr="00C54BE9" w:rsidRDefault="00C54BE9" w:rsidP="00C54BE9">
            <w:pPr>
              <w:spacing w:after="0" w:line="240" w:lineRule="auto"/>
              <w:jc w:val="left"/>
            </w:pPr>
            <w:r w:rsidRPr="00C54BE9">
              <w:t> </w:t>
            </w:r>
          </w:p>
        </w:tc>
        <w:tc>
          <w:tcPr>
            <w:tcW w:w="1400" w:type="dxa"/>
            <w:shd w:val="clear" w:color="auto" w:fill="EEF3F8"/>
            <w:hideMark/>
          </w:tcPr>
          <w:p w14:paraId="7FDC0508" w14:textId="77777777" w:rsidR="00C54BE9" w:rsidRPr="00C54BE9" w:rsidRDefault="00C54BE9" w:rsidP="00C54BE9">
            <w:pPr>
              <w:spacing w:after="0" w:line="240" w:lineRule="auto"/>
              <w:jc w:val="left"/>
            </w:pPr>
            <w:r w:rsidRPr="00C54BE9">
              <w:t> </w:t>
            </w:r>
          </w:p>
        </w:tc>
      </w:tr>
      <w:tr w:rsidR="00C54BE9" w:rsidRPr="00C54BE9" w14:paraId="64C537DB" w14:textId="77777777" w:rsidTr="00175889">
        <w:trPr>
          <w:trHeight w:val="300"/>
        </w:trPr>
        <w:tc>
          <w:tcPr>
            <w:tcW w:w="1885" w:type="dxa"/>
            <w:shd w:val="clear" w:color="auto" w:fill="EEF3F8"/>
            <w:hideMark/>
          </w:tcPr>
          <w:p w14:paraId="185C4202"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265D0F42" w14:textId="77777777" w:rsidR="00C54BE9" w:rsidRPr="00C54BE9" w:rsidRDefault="00C54BE9" w:rsidP="00C54BE9">
            <w:pPr>
              <w:spacing w:after="0" w:line="240" w:lineRule="auto"/>
              <w:jc w:val="left"/>
            </w:pPr>
            <w:r w:rsidRPr="00C54BE9">
              <w:t xml:space="preserve">Outreach: Open House </w:t>
            </w:r>
          </w:p>
        </w:tc>
        <w:tc>
          <w:tcPr>
            <w:tcW w:w="1620" w:type="dxa"/>
            <w:shd w:val="clear" w:color="auto" w:fill="EEF3F8"/>
            <w:noWrap/>
            <w:hideMark/>
          </w:tcPr>
          <w:p w14:paraId="5B1F2A38" w14:textId="77777777" w:rsidR="00C54BE9" w:rsidRPr="00C54BE9" w:rsidRDefault="00C54BE9" w:rsidP="00C54BE9">
            <w:pPr>
              <w:spacing w:after="0" w:line="240" w:lineRule="auto"/>
              <w:jc w:val="left"/>
            </w:pPr>
            <w:r w:rsidRPr="00C54BE9">
              <w:t>EPO.14</w:t>
            </w:r>
          </w:p>
        </w:tc>
        <w:tc>
          <w:tcPr>
            <w:tcW w:w="1440" w:type="dxa"/>
            <w:shd w:val="clear" w:color="auto" w:fill="EEF3F8"/>
            <w:noWrap/>
            <w:hideMark/>
          </w:tcPr>
          <w:p w14:paraId="55A39EFA"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0116C799"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61F3E5D6" w14:textId="77777777" w:rsidR="00C54BE9" w:rsidRPr="00C54BE9" w:rsidRDefault="00C54BE9" w:rsidP="00C54BE9">
            <w:pPr>
              <w:spacing w:after="0" w:line="240" w:lineRule="auto"/>
              <w:jc w:val="left"/>
            </w:pPr>
            <w:r w:rsidRPr="00C54BE9">
              <w:t> </w:t>
            </w:r>
          </w:p>
        </w:tc>
      </w:tr>
      <w:tr w:rsidR="00C54BE9" w:rsidRPr="00C54BE9" w14:paraId="4CEF9ABC" w14:textId="77777777" w:rsidTr="00175889">
        <w:trPr>
          <w:trHeight w:val="300"/>
        </w:trPr>
        <w:tc>
          <w:tcPr>
            <w:tcW w:w="1885" w:type="dxa"/>
            <w:shd w:val="clear" w:color="auto" w:fill="EEF3F8"/>
            <w:hideMark/>
          </w:tcPr>
          <w:p w14:paraId="7CFCAE30"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04B35B48" w14:textId="77777777" w:rsidR="00C54BE9" w:rsidRPr="00C54BE9" w:rsidRDefault="00C54BE9" w:rsidP="00C54BE9">
            <w:pPr>
              <w:spacing w:after="0" w:line="240" w:lineRule="auto"/>
              <w:jc w:val="left"/>
            </w:pPr>
            <w:r w:rsidRPr="00C54BE9">
              <w:t>Proposal for Expanded WVSPOT</w:t>
            </w:r>
          </w:p>
        </w:tc>
        <w:tc>
          <w:tcPr>
            <w:tcW w:w="1620" w:type="dxa"/>
            <w:shd w:val="clear" w:color="auto" w:fill="EEF3F8"/>
            <w:noWrap/>
            <w:hideMark/>
          </w:tcPr>
          <w:p w14:paraId="6FC185BC" w14:textId="77777777" w:rsidR="00C54BE9" w:rsidRPr="00C54BE9" w:rsidRDefault="00C54BE9" w:rsidP="00C54BE9">
            <w:pPr>
              <w:spacing w:after="0" w:line="240" w:lineRule="auto"/>
              <w:jc w:val="left"/>
            </w:pPr>
            <w:r w:rsidRPr="00C54BE9">
              <w:t>EPO.15</w:t>
            </w:r>
          </w:p>
        </w:tc>
        <w:tc>
          <w:tcPr>
            <w:tcW w:w="1440" w:type="dxa"/>
            <w:shd w:val="clear" w:color="auto" w:fill="EEF3F8"/>
            <w:noWrap/>
            <w:hideMark/>
          </w:tcPr>
          <w:p w14:paraId="6E34806B"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6F2F8447"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0CF277EE" w14:textId="77777777" w:rsidR="00C54BE9" w:rsidRPr="00C54BE9" w:rsidRDefault="00C54BE9" w:rsidP="00C54BE9">
            <w:pPr>
              <w:spacing w:after="0" w:line="240" w:lineRule="auto"/>
              <w:jc w:val="left"/>
            </w:pPr>
            <w:r w:rsidRPr="00C54BE9">
              <w:t> </w:t>
            </w:r>
          </w:p>
        </w:tc>
      </w:tr>
      <w:tr w:rsidR="00C54BE9" w:rsidRPr="00C54BE9" w14:paraId="0B41FF40" w14:textId="77777777" w:rsidTr="00175889">
        <w:trPr>
          <w:trHeight w:val="300"/>
        </w:trPr>
        <w:tc>
          <w:tcPr>
            <w:tcW w:w="1885" w:type="dxa"/>
            <w:shd w:val="clear" w:color="auto" w:fill="EEF3F8"/>
            <w:hideMark/>
          </w:tcPr>
          <w:p w14:paraId="1F0FFDC2"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4386BEB0" w14:textId="77777777" w:rsidR="00C54BE9" w:rsidRPr="00C54BE9" w:rsidRDefault="00C54BE9" w:rsidP="00C54BE9">
            <w:pPr>
              <w:spacing w:after="0" w:line="240" w:lineRule="auto"/>
              <w:jc w:val="left"/>
            </w:pPr>
            <w:r w:rsidRPr="00C54BE9">
              <w:t>WV Governor's STEM Institute</w:t>
            </w:r>
          </w:p>
        </w:tc>
        <w:tc>
          <w:tcPr>
            <w:tcW w:w="1620" w:type="dxa"/>
            <w:shd w:val="clear" w:color="auto" w:fill="EEF3F8"/>
            <w:noWrap/>
            <w:hideMark/>
          </w:tcPr>
          <w:p w14:paraId="234E3D28"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0B8CEB7F"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383310F3"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1A1DFB65" w14:textId="77777777" w:rsidR="00C54BE9" w:rsidRPr="00C54BE9" w:rsidRDefault="00C54BE9" w:rsidP="00C54BE9">
            <w:pPr>
              <w:spacing w:after="0" w:line="240" w:lineRule="auto"/>
              <w:jc w:val="left"/>
            </w:pPr>
            <w:r w:rsidRPr="00C54BE9">
              <w:t>EPO.16</w:t>
            </w:r>
          </w:p>
        </w:tc>
      </w:tr>
      <w:tr w:rsidR="00C54BE9" w:rsidRPr="00C54BE9" w14:paraId="01DE30C0" w14:textId="77777777" w:rsidTr="00175889">
        <w:trPr>
          <w:trHeight w:val="300"/>
        </w:trPr>
        <w:tc>
          <w:tcPr>
            <w:tcW w:w="1885" w:type="dxa"/>
            <w:shd w:val="clear" w:color="auto" w:fill="EEF3F8"/>
            <w:hideMark/>
          </w:tcPr>
          <w:p w14:paraId="7DE9FE82"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14D5AD47" w14:textId="77777777" w:rsidR="00C54BE9" w:rsidRPr="00C54BE9" w:rsidRDefault="00C54BE9" w:rsidP="00C54BE9">
            <w:pPr>
              <w:spacing w:after="0" w:line="240" w:lineRule="auto"/>
              <w:jc w:val="left"/>
            </w:pPr>
            <w:r w:rsidRPr="00C54BE9">
              <w:t>PING Student/Mentor Recruitment Plan</w:t>
            </w:r>
          </w:p>
        </w:tc>
        <w:tc>
          <w:tcPr>
            <w:tcW w:w="1620" w:type="dxa"/>
            <w:shd w:val="clear" w:color="auto" w:fill="EEF3F8"/>
            <w:noWrap/>
            <w:hideMark/>
          </w:tcPr>
          <w:p w14:paraId="64652D92" w14:textId="77777777" w:rsidR="00C54BE9" w:rsidRPr="00C54BE9" w:rsidRDefault="00C54BE9" w:rsidP="00C54BE9">
            <w:pPr>
              <w:spacing w:after="0" w:line="240" w:lineRule="auto"/>
              <w:jc w:val="left"/>
            </w:pPr>
            <w:r w:rsidRPr="00C54BE9">
              <w:t>EPO.17</w:t>
            </w:r>
          </w:p>
        </w:tc>
        <w:tc>
          <w:tcPr>
            <w:tcW w:w="1440" w:type="dxa"/>
            <w:shd w:val="clear" w:color="auto" w:fill="EEF3F8"/>
            <w:noWrap/>
            <w:hideMark/>
          </w:tcPr>
          <w:p w14:paraId="18921D66"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387E7FFD"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6800CDA5" w14:textId="77777777" w:rsidR="00C54BE9" w:rsidRPr="00C54BE9" w:rsidRDefault="00C54BE9" w:rsidP="00C54BE9">
            <w:pPr>
              <w:spacing w:after="0" w:line="240" w:lineRule="auto"/>
              <w:jc w:val="left"/>
            </w:pPr>
            <w:r w:rsidRPr="00C54BE9">
              <w:t> </w:t>
            </w:r>
          </w:p>
        </w:tc>
      </w:tr>
      <w:tr w:rsidR="00C54BE9" w:rsidRPr="00C54BE9" w14:paraId="14F22D48" w14:textId="77777777" w:rsidTr="00175889">
        <w:trPr>
          <w:trHeight w:val="300"/>
        </w:trPr>
        <w:tc>
          <w:tcPr>
            <w:tcW w:w="1885" w:type="dxa"/>
            <w:shd w:val="clear" w:color="auto" w:fill="EEF3F8"/>
            <w:hideMark/>
          </w:tcPr>
          <w:p w14:paraId="4400E840"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71DAC96C" w14:textId="77777777" w:rsidR="00C54BE9" w:rsidRPr="00C54BE9" w:rsidRDefault="00C54BE9" w:rsidP="00C54BE9">
            <w:pPr>
              <w:spacing w:after="0" w:line="240" w:lineRule="auto"/>
              <w:jc w:val="left"/>
            </w:pPr>
            <w:r w:rsidRPr="00C54BE9">
              <w:t>PING Student Selections</w:t>
            </w:r>
          </w:p>
        </w:tc>
        <w:tc>
          <w:tcPr>
            <w:tcW w:w="1620" w:type="dxa"/>
            <w:shd w:val="clear" w:color="auto" w:fill="EEF3F8"/>
            <w:noWrap/>
            <w:hideMark/>
          </w:tcPr>
          <w:p w14:paraId="716E33D6"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2BC77F78"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1F71F9A2" w14:textId="77777777" w:rsidR="00C54BE9" w:rsidRPr="00C54BE9" w:rsidRDefault="00C54BE9" w:rsidP="00C54BE9">
            <w:pPr>
              <w:spacing w:after="0" w:line="240" w:lineRule="auto"/>
              <w:jc w:val="left"/>
            </w:pPr>
            <w:r w:rsidRPr="00C54BE9">
              <w:t>EPO.18</w:t>
            </w:r>
          </w:p>
        </w:tc>
        <w:tc>
          <w:tcPr>
            <w:tcW w:w="1400" w:type="dxa"/>
            <w:shd w:val="clear" w:color="auto" w:fill="EEF3F8"/>
            <w:noWrap/>
            <w:hideMark/>
          </w:tcPr>
          <w:p w14:paraId="728289ED" w14:textId="77777777" w:rsidR="00C54BE9" w:rsidRPr="00C54BE9" w:rsidRDefault="00C54BE9" w:rsidP="00C54BE9">
            <w:pPr>
              <w:spacing w:after="0" w:line="240" w:lineRule="auto"/>
              <w:jc w:val="left"/>
            </w:pPr>
            <w:r w:rsidRPr="00C54BE9">
              <w:t> </w:t>
            </w:r>
          </w:p>
        </w:tc>
      </w:tr>
      <w:tr w:rsidR="00C54BE9" w:rsidRPr="00C54BE9" w14:paraId="241D12A3" w14:textId="77777777" w:rsidTr="00175889">
        <w:trPr>
          <w:trHeight w:val="300"/>
        </w:trPr>
        <w:tc>
          <w:tcPr>
            <w:tcW w:w="1885" w:type="dxa"/>
            <w:shd w:val="clear" w:color="auto" w:fill="EEF3F8"/>
            <w:hideMark/>
          </w:tcPr>
          <w:p w14:paraId="29BFD117"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3EC52018" w14:textId="77777777" w:rsidR="00C54BE9" w:rsidRPr="00C54BE9" w:rsidRDefault="00C54BE9" w:rsidP="00C54BE9">
            <w:pPr>
              <w:spacing w:after="0" w:line="240" w:lineRule="auto"/>
              <w:jc w:val="left"/>
            </w:pPr>
            <w:r w:rsidRPr="00C54BE9">
              <w:t>PING Evaluation</w:t>
            </w:r>
          </w:p>
        </w:tc>
        <w:tc>
          <w:tcPr>
            <w:tcW w:w="1620" w:type="dxa"/>
            <w:shd w:val="clear" w:color="auto" w:fill="EEF3F8"/>
            <w:noWrap/>
            <w:hideMark/>
          </w:tcPr>
          <w:p w14:paraId="2B6D1029"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1211CDC3"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500F75A6"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7C2149E7" w14:textId="77777777" w:rsidR="00C54BE9" w:rsidRPr="00C54BE9" w:rsidRDefault="00C54BE9" w:rsidP="00C54BE9">
            <w:pPr>
              <w:spacing w:after="0" w:line="240" w:lineRule="auto"/>
              <w:jc w:val="left"/>
            </w:pPr>
            <w:r w:rsidRPr="00C54BE9">
              <w:t>EPO.19</w:t>
            </w:r>
          </w:p>
        </w:tc>
      </w:tr>
      <w:tr w:rsidR="00C54BE9" w:rsidRPr="00C54BE9" w14:paraId="4E46DC06" w14:textId="77777777" w:rsidTr="00175889">
        <w:trPr>
          <w:trHeight w:val="300"/>
        </w:trPr>
        <w:tc>
          <w:tcPr>
            <w:tcW w:w="1885" w:type="dxa"/>
            <w:shd w:val="clear" w:color="auto" w:fill="EEF3F8"/>
            <w:hideMark/>
          </w:tcPr>
          <w:p w14:paraId="0A60CA77"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3E43E324" w14:textId="77777777" w:rsidR="00C54BE9" w:rsidRPr="00C54BE9" w:rsidRDefault="00C54BE9" w:rsidP="00C54BE9">
            <w:pPr>
              <w:spacing w:after="0" w:line="240" w:lineRule="auto"/>
              <w:jc w:val="left"/>
            </w:pPr>
            <w:r w:rsidRPr="00C54BE9">
              <w:t xml:space="preserve">PSC Proposal Submission </w:t>
            </w:r>
          </w:p>
        </w:tc>
        <w:tc>
          <w:tcPr>
            <w:tcW w:w="1620" w:type="dxa"/>
            <w:shd w:val="clear" w:color="auto" w:fill="EEF3F8"/>
            <w:noWrap/>
            <w:hideMark/>
          </w:tcPr>
          <w:p w14:paraId="4D6DA07D"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01B2AF09"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3EF194A8"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54E0C733" w14:textId="77777777" w:rsidR="00C54BE9" w:rsidRPr="00C54BE9" w:rsidRDefault="00C54BE9" w:rsidP="00C54BE9">
            <w:pPr>
              <w:spacing w:after="0" w:line="240" w:lineRule="auto"/>
              <w:jc w:val="left"/>
            </w:pPr>
            <w:r w:rsidRPr="00C54BE9">
              <w:t>EPO.20</w:t>
            </w:r>
          </w:p>
        </w:tc>
      </w:tr>
      <w:tr w:rsidR="00C54BE9" w:rsidRPr="00C54BE9" w14:paraId="5D21E61E" w14:textId="77777777" w:rsidTr="00175889">
        <w:trPr>
          <w:trHeight w:val="300"/>
        </w:trPr>
        <w:tc>
          <w:tcPr>
            <w:tcW w:w="1885" w:type="dxa"/>
            <w:shd w:val="clear" w:color="auto" w:fill="EEF3F8"/>
            <w:hideMark/>
          </w:tcPr>
          <w:p w14:paraId="0F73AC9F"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63B20C74" w14:textId="77777777" w:rsidR="00C54BE9" w:rsidRPr="00C54BE9" w:rsidRDefault="00C54BE9" w:rsidP="00C54BE9">
            <w:pPr>
              <w:spacing w:after="0" w:line="240" w:lineRule="auto"/>
              <w:jc w:val="left"/>
            </w:pPr>
            <w:proofErr w:type="spellStart"/>
            <w:r w:rsidRPr="00C54BE9">
              <w:t>SkyNet</w:t>
            </w:r>
            <w:proofErr w:type="spellEnd"/>
            <w:r w:rsidRPr="00C54BE9">
              <w:t xml:space="preserve"> Junior Scholars Mini Workshops</w:t>
            </w:r>
          </w:p>
        </w:tc>
        <w:tc>
          <w:tcPr>
            <w:tcW w:w="1620" w:type="dxa"/>
            <w:shd w:val="clear" w:color="auto" w:fill="EEF3F8"/>
            <w:noWrap/>
            <w:hideMark/>
          </w:tcPr>
          <w:p w14:paraId="40949CED" w14:textId="77777777" w:rsidR="00C54BE9" w:rsidRPr="00C54BE9" w:rsidRDefault="00C54BE9" w:rsidP="00C54BE9">
            <w:pPr>
              <w:spacing w:after="0" w:line="240" w:lineRule="auto"/>
              <w:jc w:val="left"/>
            </w:pPr>
            <w:r w:rsidRPr="00C54BE9">
              <w:t>EPO.21</w:t>
            </w:r>
          </w:p>
        </w:tc>
        <w:tc>
          <w:tcPr>
            <w:tcW w:w="1440" w:type="dxa"/>
            <w:shd w:val="clear" w:color="auto" w:fill="EEF3F8"/>
            <w:noWrap/>
            <w:hideMark/>
          </w:tcPr>
          <w:p w14:paraId="20550152" w14:textId="77777777" w:rsidR="00C54BE9" w:rsidRPr="00C54BE9" w:rsidRDefault="00C54BE9" w:rsidP="00C54BE9">
            <w:pPr>
              <w:spacing w:after="0" w:line="240" w:lineRule="auto"/>
              <w:jc w:val="left"/>
            </w:pPr>
            <w:r w:rsidRPr="00C54BE9">
              <w:t>EPO.21</w:t>
            </w:r>
          </w:p>
        </w:tc>
        <w:tc>
          <w:tcPr>
            <w:tcW w:w="1440" w:type="dxa"/>
            <w:shd w:val="clear" w:color="auto" w:fill="EEF3F8"/>
            <w:noWrap/>
            <w:hideMark/>
          </w:tcPr>
          <w:p w14:paraId="78207CBB"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115DF8E3" w14:textId="77777777" w:rsidR="00C54BE9" w:rsidRPr="00C54BE9" w:rsidRDefault="00C54BE9" w:rsidP="00C54BE9">
            <w:pPr>
              <w:spacing w:after="0" w:line="240" w:lineRule="auto"/>
              <w:jc w:val="left"/>
            </w:pPr>
            <w:r w:rsidRPr="00C54BE9">
              <w:t> </w:t>
            </w:r>
          </w:p>
        </w:tc>
      </w:tr>
      <w:tr w:rsidR="00C54BE9" w:rsidRPr="00C54BE9" w14:paraId="4F2543A7" w14:textId="77777777" w:rsidTr="00175889">
        <w:trPr>
          <w:trHeight w:val="300"/>
        </w:trPr>
        <w:tc>
          <w:tcPr>
            <w:tcW w:w="1885" w:type="dxa"/>
            <w:shd w:val="clear" w:color="auto" w:fill="EEF3F8"/>
            <w:hideMark/>
          </w:tcPr>
          <w:p w14:paraId="7885FBF0"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471F2DBC" w14:textId="77777777" w:rsidR="00C54BE9" w:rsidRPr="00C54BE9" w:rsidRDefault="00C54BE9" w:rsidP="00C54BE9">
            <w:pPr>
              <w:spacing w:after="0" w:line="240" w:lineRule="auto"/>
              <w:jc w:val="left"/>
            </w:pPr>
            <w:r w:rsidRPr="00C54BE9">
              <w:t>REU/Summer Students Selected</w:t>
            </w:r>
          </w:p>
        </w:tc>
        <w:tc>
          <w:tcPr>
            <w:tcW w:w="1620" w:type="dxa"/>
            <w:shd w:val="clear" w:color="auto" w:fill="EEF3F8"/>
            <w:noWrap/>
            <w:hideMark/>
          </w:tcPr>
          <w:p w14:paraId="122A4F67"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C34EE8B" w14:textId="77777777" w:rsidR="00C54BE9" w:rsidRPr="00C54BE9" w:rsidRDefault="00C54BE9" w:rsidP="00C54BE9">
            <w:pPr>
              <w:spacing w:after="0" w:line="240" w:lineRule="auto"/>
              <w:jc w:val="left"/>
            </w:pPr>
            <w:r w:rsidRPr="00C54BE9">
              <w:t>EPO.22</w:t>
            </w:r>
          </w:p>
        </w:tc>
        <w:tc>
          <w:tcPr>
            <w:tcW w:w="1440" w:type="dxa"/>
            <w:shd w:val="clear" w:color="auto" w:fill="EEF3F8"/>
            <w:noWrap/>
            <w:hideMark/>
          </w:tcPr>
          <w:p w14:paraId="15B03951"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2493A4C8" w14:textId="77777777" w:rsidR="00C54BE9" w:rsidRPr="00C54BE9" w:rsidRDefault="00C54BE9" w:rsidP="00C54BE9">
            <w:pPr>
              <w:spacing w:after="0" w:line="240" w:lineRule="auto"/>
              <w:jc w:val="left"/>
            </w:pPr>
            <w:r w:rsidRPr="00C54BE9">
              <w:t> </w:t>
            </w:r>
          </w:p>
        </w:tc>
      </w:tr>
      <w:tr w:rsidR="00C54BE9" w:rsidRPr="00C54BE9" w14:paraId="21A9AD96" w14:textId="77777777" w:rsidTr="00175889">
        <w:trPr>
          <w:trHeight w:val="300"/>
        </w:trPr>
        <w:tc>
          <w:tcPr>
            <w:tcW w:w="1885" w:type="dxa"/>
            <w:shd w:val="clear" w:color="auto" w:fill="EEF3F8"/>
            <w:hideMark/>
          </w:tcPr>
          <w:p w14:paraId="63A143F1" w14:textId="77777777" w:rsidR="00C54BE9" w:rsidRPr="00C54BE9" w:rsidRDefault="00C54BE9" w:rsidP="00C54BE9">
            <w:pPr>
              <w:spacing w:after="0" w:line="240" w:lineRule="auto"/>
              <w:jc w:val="left"/>
            </w:pPr>
            <w:r w:rsidRPr="00C54BE9">
              <w:lastRenderedPageBreak/>
              <w:t>Broader Impact</w:t>
            </w:r>
          </w:p>
        </w:tc>
        <w:tc>
          <w:tcPr>
            <w:tcW w:w="4950" w:type="dxa"/>
            <w:shd w:val="clear" w:color="auto" w:fill="EEF3F8"/>
            <w:noWrap/>
            <w:hideMark/>
          </w:tcPr>
          <w:p w14:paraId="3CB8726E" w14:textId="77777777" w:rsidR="00C54BE9" w:rsidRPr="00C54BE9" w:rsidRDefault="00C54BE9" w:rsidP="00C54BE9">
            <w:pPr>
              <w:spacing w:after="0" w:line="240" w:lineRule="auto"/>
              <w:jc w:val="left"/>
            </w:pPr>
            <w:r w:rsidRPr="00C54BE9">
              <w:t>Summer Student Program (REU, PING, Interns) Bootcamp</w:t>
            </w:r>
          </w:p>
        </w:tc>
        <w:tc>
          <w:tcPr>
            <w:tcW w:w="1620" w:type="dxa"/>
            <w:shd w:val="clear" w:color="auto" w:fill="EEF3F8"/>
            <w:noWrap/>
            <w:hideMark/>
          </w:tcPr>
          <w:p w14:paraId="0B0AC5CC"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3752E2CD"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01D39517" w14:textId="77777777" w:rsidR="00C54BE9" w:rsidRPr="00C54BE9" w:rsidRDefault="00C54BE9" w:rsidP="00C54BE9">
            <w:pPr>
              <w:spacing w:after="0" w:line="240" w:lineRule="auto"/>
              <w:jc w:val="left"/>
            </w:pPr>
            <w:r w:rsidRPr="00C54BE9">
              <w:t>Sc.10</w:t>
            </w:r>
          </w:p>
        </w:tc>
        <w:tc>
          <w:tcPr>
            <w:tcW w:w="1400" w:type="dxa"/>
            <w:shd w:val="clear" w:color="auto" w:fill="EEF3F8"/>
            <w:noWrap/>
            <w:hideMark/>
          </w:tcPr>
          <w:p w14:paraId="2D0B32D4" w14:textId="77777777" w:rsidR="00C54BE9" w:rsidRPr="00C54BE9" w:rsidRDefault="00C54BE9" w:rsidP="00C54BE9">
            <w:pPr>
              <w:spacing w:after="0" w:line="240" w:lineRule="auto"/>
              <w:jc w:val="left"/>
            </w:pPr>
            <w:r w:rsidRPr="00C54BE9">
              <w:t> </w:t>
            </w:r>
          </w:p>
        </w:tc>
      </w:tr>
      <w:tr w:rsidR="00C54BE9" w:rsidRPr="00C54BE9" w14:paraId="68B03844" w14:textId="77777777" w:rsidTr="00175889">
        <w:trPr>
          <w:trHeight w:val="300"/>
        </w:trPr>
        <w:tc>
          <w:tcPr>
            <w:tcW w:w="1885" w:type="dxa"/>
            <w:shd w:val="clear" w:color="auto" w:fill="EEF3F8"/>
            <w:hideMark/>
          </w:tcPr>
          <w:p w14:paraId="05751150"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7725D7EA" w14:textId="77777777" w:rsidR="00C54BE9" w:rsidRPr="00C54BE9" w:rsidRDefault="00C54BE9" w:rsidP="00C54BE9">
            <w:pPr>
              <w:spacing w:after="0" w:line="240" w:lineRule="auto"/>
              <w:jc w:val="left"/>
            </w:pPr>
            <w:r w:rsidRPr="00C54BE9">
              <w:t>Summer Student Program (REU, PING, Interns) Completed</w:t>
            </w:r>
          </w:p>
        </w:tc>
        <w:tc>
          <w:tcPr>
            <w:tcW w:w="1620" w:type="dxa"/>
            <w:shd w:val="clear" w:color="auto" w:fill="EEF3F8"/>
            <w:noWrap/>
            <w:hideMark/>
          </w:tcPr>
          <w:p w14:paraId="01D93282"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04735A81"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5863BFF6"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05C81A93" w14:textId="77777777" w:rsidR="00C54BE9" w:rsidRPr="00C54BE9" w:rsidRDefault="00C54BE9" w:rsidP="00C54BE9">
            <w:pPr>
              <w:spacing w:after="0" w:line="240" w:lineRule="auto"/>
              <w:jc w:val="left"/>
            </w:pPr>
            <w:r w:rsidRPr="00C54BE9">
              <w:t>Sc.11</w:t>
            </w:r>
          </w:p>
        </w:tc>
      </w:tr>
      <w:tr w:rsidR="00C54BE9" w:rsidRPr="00C54BE9" w14:paraId="590BF72C" w14:textId="77777777" w:rsidTr="00175889">
        <w:trPr>
          <w:trHeight w:val="300"/>
        </w:trPr>
        <w:tc>
          <w:tcPr>
            <w:tcW w:w="1885" w:type="dxa"/>
            <w:shd w:val="clear" w:color="auto" w:fill="EEF3F8"/>
            <w:hideMark/>
          </w:tcPr>
          <w:p w14:paraId="4B6B71C1"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73F7C5E9" w14:textId="77777777" w:rsidR="00C54BE9" w:rsidRPr="00C54BE9" w:rsidRDefault="00C54BE9" w:rsidP="00C54BE9">
            <w:pPr>
              <w:spacing w:after="0" w:line="240" w:lineRule="auto"/>
              <w:jc w:val="left"/>
            </w:pPr>
            <w:r w:rsidRPr="00C54BE9">
              <w:t>Chautauqua Short Courses Conducted</w:t>
            </w:r>
          </w:p>
        </w:tc>
        <w:tc>
          <w:tcPr>
            <w:tcW w:w="1620" w:type="dxa"/>
            <w:shd w:val="clear" w:color="auto" w:fill="EEF3F8"/>
            <w:noWrap/>
            <w:hideMark/>
          </w:tcPr>
          <w:p w14:paraId="037082D2"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0E57597B"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48107716" w14:textId="77777777" w:rsidR="00C54BE9" w:rsidRPr="00C54BE9" w:rsidRDefault="00C54BE9" w:rsidP="00C54BE9">
            <w:pPr>
              <w:spacing w:after="0" w:line="240" w:lineRule="auto"/>
              <w:jc w:val="left"/>
            </w:pPr>
            <w:r w:rsidRPr="00C54BE9">
              <w:t>EPO.23</w:t>
            </w:r>
          </w:p>
        </w:tc>
        <w:tc>
          <w:tcPr>
            <w:tcW w:w="1400" w:type="dxa"/>
            <w:shd w:val="clear" w:color="auto" w:fill="EEF3F8"/>
            <w:noWrap/>
            <w:hideMark/>
          </w:tcPr>
          <w:p w14:paraId="3AB551B2" w14:textId="77777777" w:rsidR="00C54BE9" w:rsidRPr="00C54BE9" w:rsidRDefault="00C54BE9" w:rsidP="00C54BE9">
            <w:pPr>
              <w:spacing w:after="0" w:line="240" w:lineRule="auto"/>
              <w:jc w:val="left"/>
            </w:pPr>
            <w:r w:rsidRPr="00C54BE9">
              <w:t> </w:t>
            </w:r>
          </w:p>
        </w:tc>
      </w:tr>
      <w:tr w:rsidR="00C54BE9" w:rsidRPr="00C54BE9" w14:paraId="1F900F39" w14:textId="77777777" w:rsidTr="00175889">
        <w:trPr>
          <w:trHeight w:val="300"/>
        </w:trPr>
        <w:tc>
          <w:tcPr>
            <w:tcW w:w="1885" w:type="dxa"/>
            <w:shd w:val="clear" w:color="auto" w:fill="EEF3F8"/>
            <w:hideMark/>
          </w:tcPr>
          <w:p w14:paraId="3B164733"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60B63ECD" w14:textId="77777777" w:rsidR="00C54BE9" w:rsidRPr="00C54BE9" w:rsidRDefault="00C54BE9" w:rsidP="00C54BE9">
            <w:pPr>
              <w:spacing w:after="0" w:line="240" w:lineRule="auto"/>
              <w:jc w:val="left"/>
            </w:pPr>
            <w:r w:rsidRPr="00C54BE9">
              <w:t>Training: Single Dish Workshop</w:t>
            </w:r>
          </w:p>
        </w:tc>
        <w:tc>
          <w:tcPr>
            <w:tcW w:w="1620" w:type="dxa"/>
            <w:shd w:val="clear" w:color="auto" w:fill="EEF3F8"/>
            <w:noWrap/>
            <w:hideMark/>
          </w:tcPr>
          <w:p w14:paraId="4A941F0E"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2F783B19" w14:textId="77777777" w:rsidR="00C54BE9" w:rsidRPr="00C54BE9" w:rsidRDefault="00C54BE9" w:rsidP="00C54BE9">
            <w:pPr>
              <w:spacing w:after="0" w:line="240" w:lineRule="auto"/>
              <w:jc w:val="left"/>
            </w:pPr>
            <w:r w:rsidRPr="00C54BE9">
              <w:t>Sc.13</w:t>
            </w:r>
          </w:p>
        </w:tc>
        <w:tc>
          <w:tcPr>
            <w:tcW w:w="1440" w:type="dxa"/>
            <w:shd w:val="clear" w:color="auto" w:fill="EEF3F8"/>
            <w:noWrap/>
            <w:hideMark/>
          </w:tcPr>
          <w:p w14:paraId="327FEDD9"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70D46769" w14:textId="77777777" w:rsidR="00C54BE9" w:rsidRPr="00C54BE9" w:rsidRDefault="00C54BE9" w:rsidP="00C54BE9">
            <w:pPr>
              <w:spacing w:after="0" w:line="240" w:lineRule="auto"/>
              <w:jc w:val="left"/>
            </w:pPr>
            <w:r w:rsidRPr="00C54BE9">
              <w:t> </w:t>
            </w:r>
          </w:p>
        </w:tc>
      </w:tr>
      <w:tr w:rsidR="00C54BE9" w:rsidRPr="00C54BE9" w14:paraId="5D57E32E" w14:textId="77777777" w:rsidTr="00175889">
        <w:trPr>
          <w:trHeight w:val="300"/>
        </w:trPr>
        <w:tc>
          <w:tcPr>
            <w:tcW w:w="1885" w:type="dxa"/>
            <w:shd w:val="clear" w:color="auto" w:fill="EEF3F8"/>
            <w:hideMark/>
          </w:tcPr>
          <w:p w14:paraId="74A4BCB8"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6EE8D5D4" w14:textId="77777777" w:rsidR="00C54BE9" w:rsidRPr="00C54BE9" w:rsidRDefault="00C54BE9" w:rsidP="00C54BE9">
            <w:pPr>
              <w:spacing w:after="0" w:line="240" w:lineRule="auto"/>
              <w:jc w:val="left"/>
            </w:pPr>
            <w:r w:rsidRPr="00C54BE9">
              <w:t>Training: Observer Training Workshops</w:t>
            </w:r>
          </w:p>
        </w:tc>
        <w:tc>
          <w:tcPr>
            <w:tcW w:w="1620" w:type="dxa"/>
            <w:shd w:val="clear" w:color="auto" w:fill="EEF3F8"/>
            <w:noWrap/>
            <w:hideMark/>
          </w:tcPr>
          <w:p w14:paraId="756010EF" w14:textId="77777777" w:rsidR="00C54BE9" w:rsidRPr="00C54BE9" w:rsidRDefault="00C54BE9" w:rsidP="00C54BE9">
            <w:pPr>
              <w:spacing w:after="0" w:line="240" w:lineRule="auto"/>
              <w:jc w:val="left"/>
            </w:pPr>
            <w:r w:rsidRPr="00C54BE9">
              <w:t>Sc.14</w:t>
            </w:r>
          </w:p>
        </w:tc>
        <w:tc>
          <w:tcPr>
            <w:tcW w:w="1440" w:type="dxa"/>
            <w:shd w:val="clear" w:color="auto" w:fill="EEF3F8"/>
            <w:noWrap/>
            <w:hideMark/>
          </w:tcPr>
          <w:p w14:paraId="0176A8D3" w14:textId="77777777" w:rsidR="00C54BE9" w:rsidRPr="00C54BE9" w:rsidRDefault="00C54BE9" w:rsidP="00C54BE9">
            <w:pPr>
              <w:spacing w:after="0" w:line="240" w:lineRule="auto"/>
              <w:jc w:val="left"/>
            </w:pPr>
            <w:r w:rsidRPr="00C54BE9">
              <w:t>Sc.14</w:t>
            </w:r>
          </w:p>
        </w:tc>
        <w:tc>
          <w:tcPr>
            <w:tcW w:w="1440" w:type="dxa"/>
            <w:shd w:val="clear" w:color="auto" w:fill="EEF3F8"/>
            <w:noWrap/>
            <w:hideMark/>
          </w:tcPr>
          <w:p w14:paraId="40374DD7"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24B20ADF" w14:textId="77777777" w:rsidR="00C54BE9" w:rsidRPr="00C54BE9" w:rsidRDefault="00C54BE9" w:rsidP="00C54BE9">
            <w:pPr>
              <w:spacing w:after="0" w:line="240" w:lineRule="auto"/>
              <w:jc w:val="left"/>
            </w:pPr>
            <w:r w:rsidRPr="00C54BE9">
              <w:t>Sc.14</w:t>
            </w:r>
          </w:p>
        </w:tc>
      </w:tr>
      <w:tr w:rsidR="00C54BE9" w:rsidRPr="00C54BE9" w14:paraId="1B634A0F" w14:textId="77777777" w:rsidTr="00175889">
        <w:trPr>
          <w:trHeight w:val="300"/>
        </w:trPr>
        <w:tc>
          <w:tcPr>
            <w:tcW w:w="1885" w:type="dxa"/>
            <w:shd w:val="clear" w:color="auto" w:fill="EEF3F8"/>
            <w:hideMark/>
          </w:tcPr>
          <w:p w14:paraId="0FB33135"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68737B65" w14:textId="77777777" w:rsidR="00C54BE9" w:rsidRPr="00C54BE9" w:rsidRDefault="00C54BE9" w:rsidP="00C54BE9">
            <w:pPr>
              <w:spacing w:after="0" w:line="240" w:lineRule="auto"/>
              <w:jc w:val="left"/>
            </w:pPr>
            <w:r w:rsidRPr="00C54BE9">
              <w:t>Training: Proposer's Workshops</w:t>
            </w:r>
          </w:p>
        </w:tc>
        <w:tc>
          <w:tcPr>
            <w:tcW w:w="1620" w:type="dxa"/>
            <w:shd w:val="clear" w:color="auto" w:fill="EEF3F8"/>
            <w:noWrap/>
            <w:hideMark/>
          </w:tcPr>
          <w:p w14:paraId="3151B3EC"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26704398" w14:textId="77777777" w:rsidR="00C54BE9" w:rsidRPr="00C54BE9" w:rsidRDefault="00C54BE9" w:rsidP="00C54BE9">
            <w:pPr>
              <w:spacing w:after="0" w:line="240" w:lineRule="auto"/>
              <w:jc w:val="left"/>
            </w:pPr>
            <w:r w:rsidRPr="00C54BE9">
              <w:t>Sc.15</w:t>
            </w:r>
          </w:p>
        </w:tc>
        <w:tc>
          <w:tcPr>
            <w:tcW w:w="1440" w:type="dxa"/>
            <w:shd w:val="clear" w:color="auto" w:fill="EEF3F8"/>
            <w:noWrap/>
            <w:hideMark/>
          </w:tcPr>
          <w:p w14:paraId="3BDDF669"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4D42EBF7" w14:textId="77777777" w:rsidR="00C54BE9" w:rsidRPr="00C54BE9" w:rsidRDefault="00C54BE9" w:rsidP="00C54BE9">
            <w:pPr>
              <w:spacing w:after="0" w:line="240" w:lineRule="auto"/>
              <w:jc w:val="left"/>
            </w:pPr>
            <w:r w:rsidRPr="00C54BE9">
              <w:t>Sc.15</w:t>
            </w:r>
          </w:p>
        </w:tc>
      </w:tr>
      <w:tr w:rsidR="00C54BE9" w:rsidRPr="00C54BE9" w14:paraId="1911336F" w14:textId="77777777" w:rsidTr="00175889">
        <w:trPr>
          <w:trHeight w:val="300"/>
        </w:trPr>
        <w:tc>
          <w:tcPr>
            <w:tcW w:w="1885" w:type="dxa"/>
            <w:shd w:val="clear" w:color="auto" w:fill="EEF3F8"/>
            <w:hideMark/>
          </w:tcPr>
          <w:p w14:paraId="4B1CE76F"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2EE759D4" w14:textId="77777777" w:rsidR="00C54BE9" w:rsidRPr="00C54BE9" w:rsidRDefault="00C54BE9" w:rsidP="00C54BE9">
            <w:pPr>
              <w:spacing w:after="0" w:line="240" w:lineRule="auto"/>
              <w:jc w:val="left"/>
            </w:pPr>
            <w:r w:rsidRPr="00C54BE9">
              <w:t>Astronomy Community Workshops</w:t>
            </w:r>
          </w:p>
        </w:tc>
        <w:tc>
          <w:tcPr>
            <w:tcW w:w="1620" w:type="dxa"/>
            <w:shd w:val="clear" w:color="auto" w:fill="EEF3F8"/>
            <w:noWrap/>
            <w:hideMark/>
          </w:tcPr>
          <w:p w14:paraId="7C6DDEF2"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1E0EEE51" w14:textId="77777777" w:rsidR="00C54BE9" w:rsidRPr="00C54BE9" w:rsidRDefault="00C54BE9" w:rsidP="00C54BE9">
            <w:pPr>
              <w:spacing w:after="0" w:line="240" w:lineRule="auto"/>
              <w:jc w:val="left"/>
            </w:pPr>
            <w:r w:rsidRPr="00C54BE9">
              <w:t>Sc.16</w:t>
            </w:r>
          </w:p>
        </w:tc>
        <w:tc>
          <w:tcPr>
            <w:tcW w:w="1440" w:type="dxa"/>
            <w:shd w:val="clear" w:color="auto" w:fill="EEF3F8"/>
            <w:noWrap/>
            <w:hideMark/>
          </w:tcPr>
          <w:p w14:paraId="3DD94B67" w14:textId="77777777" w:rsidR="00C54BE9" w:rsidRPr="00C54BE9" w:rsidRDefault="00C54BE9" w:rsidP="00C54BE9">
            <w:pPr>
              <w:spacing w:after="0" w:line="240" w:lineRule="auto"/>
              <w:jc w:val="left"/>
            </w:pPr>
            <w:r w:rsidRPr="00C54BE9">
              <w:t>Sc.16</w:t>
            </w:r>
          </w:p>
        </w:tc>
        <w:tc>
          <w:tcPr>
            <w:tcW w:w="1400" w:type="dxa"/>
            <w:shd w:val="clear" w:color="auto" w:fill="EEF3F8"/>
            <w:noWrap/>
            <w:hideMark/>
          </w:tcPr>
          <w:p w14:paraId="542E8E2D" w14:textId="77777777" w:rsidR="00C54BE9" w:rsidRPr="00C54BE9" w:rsidRDefault="00C54BE9" w:rsidP="00C54BE9">
            <w:pPr>
              <w:spacing w:after="0" w:line="240" w:lineRule="auto"/>
              <w:jc w:val="left"/>
            </w:pPr>
            <w:r w:rsidRPr="00C54BE9">
              <w:t>Sc.16</w:t>
            </w:r>
          </w:p>
        </w:tc>
      </w:tr>
      <w:tr w:rsidR="00C54BE9" w:rsidRPr="00C54BE9" w14:paraId="722979D9" w14:textId="77777777" w:rsidTr="00175889">
        <w:trPr>
          <w:trHeight w:val="300"/>
        </w:trPr>
        <w:tc>
          <w:tcPr>
            <w:tcW w:w="1885" w:type="dxa"/>
            <w:shd w:val="clear" w:color="auto" w:fill="EEF3F8"/>
            <w:hideMark/>
          </w:tcPr>
          <w:p w14:paraId="43EEF00E"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407C34E8" w14:textId="7C19F750" w:rsidR="00C54BE9" w:rsidRPr="00C54BE9" w:rsidRDefault="00C54BE9" w:rsidP="00C54BE9">
            <w:pPr>
              <w:spacing w:after="0" w:line="240" w:lineRule="auto"/>
              <w:jc w:val="left"/>
            </w:pPr>
            <w:r w:rsidRPr="00C54BE9">
              <w:t xml:space="preserve">Establish FY2022 </w:t>
            </w:r>
            <w:r w:rsidR="0095748B">
              <w:t>Observatory</w:t>
            </w:r>
            <w:r w:rsidR="0095748B" w:rsidRPr="00C54BE9">
              <w:t xml:space="preserve"> </w:t>
            </w:r>
            <w:r w:rsidRPr="00C54BE9">
              <w:t>Leadership Cohort</w:t>
            </w:r>
          </w:p>
        </w:tc>
        <w:tc>
          <w:tcPr>
            <w:tcW w:w="1620" w:type="dxa"/>
            <w:shd w:val="clear" w:color="auto" w:fill="EEF3F8"/>
            <w:noWrap/>
            <w:hideMark/>
          </w:tcPr>
          <w:p w14:paraId="780690BA"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2EEB37B7"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10C542F9"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7AA6F59D" w14:textId="77777777" w:rsidR="00C54BE9" w:rsidRPr="00C54BE9" w:rsidRDefault="00C54BE9" w:rsidP="00C54BE9">
            <w:pPr>
              <w:spacing w:after="0" w:line="240" w:lineRule="auto"/>
              <w:jc w:val="left"/>
            </w:pPr>
            <w:r w:rsidRPr="00C54BE9">
              <w:t xml:space="preserve">HR.1 </w:t>
            </w:r>
          </w:p>
        </w:tc>
      </w:tr>
      <w:tr w:rsidR="00C54BE9" w:rsidRPr="00C54BE9" w14:paraId="639C7F3C" w14:textId="77777777" w:rsidTr="00175889">
        <w:trPr>
          <w:trHeight w:val="300"/>
        </w:trPr>
        <w:tc>
          <w:tcPr>
            <w:tcW w:w="1885" w:type="dxa"/>
            <w:shd w:val="clear" w:color="auto" w:fill="EEF3F8"/>
            <w:hideMark/>
          </w:tcPr>
          <w:p w14:paraId="3C3476BD" w14:textId="77777777" w:rsidR="00C54BE9" w:rsidRPr="00C54BE9" w:rsidRDefault="00C54BE9" w:rsidP="00C54BE9">
            <w:pPr>
              <w:spacing w:after="0" w:line="240" w:lineRule="auto"/>
              <w:jc w:val="left"/>
            </w:pPr>
            <w:r w:rsidRPr="00C54BE9">
              <w:t>Broader Impact</w:t>
            </w:r>
          </w:p>
        </w:tc>
        <w:tc>
          <w:tcPr>
            <w:tcW w:w="4950" w:type="dxa"/>
            <w:shd w:val="clear" w:color="auto" w:fill="EEF3F8"/>
            <w:noWrap/>
            <w:hideMark/>
          </w:tcPr>
          <w:p w14:paraId="43BC02B5" w14:textId="77777777" w:rsidR="00C54BE9" w:rsidRPr="00C54BE9" w:rsidRDefault="00C54BE9" w:rsidP="00C54BE9">
            <w:pPr>
              <w:spacing w:after="0" w:line="240" w:lineRule="auto"/>
              <w:jc w:val="left"/>
            </w:pPr>
            <w:r w:rsidRPr="00C54BE9">
              <w:t>Development: Establish Mentoring Program</w:t>
            </w:r>
          </w:p>
        </w:tc>
        <w:tc>
          <w:tcPr>
            <w:tcW w:w="1620" w:type="dxa"/>
            <w:shd w:val="clear" w:color="auto" w:fill="EEF3F8"/>
            <w:noWrap/>
            <w:hideMark/>
          </w:tcPr>
          <w:p w14:paraId="1EC0AFA0"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611E46BE"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618CDB03" w14:textId="77777777" w:rsidR="00C54BE9" w:rsidRPr="00C54BE9" w:rsidRDefault="00C54BE9" w:rsidP="00C54BE9">
            <w:pPr>
              <w:spacing w:after="0" w:line="240" w:lineRule="auto"/>
              <w:jc w:val="left"/>
            </w:pPr>
            <w:r w:rsidRPr="00C54BE9">
              <w:t>HR.2</w:t>
            </w:r>
          </w:p>
        </w:tc>
        <w:tc>
          <w:tcPr>
            <w:tcW w:w="1400" w:type="dxa"/>
            <w:shd w:val="clear" w:color="auto" w:fill="EEF3F8"/>
            <w:noWrap/>
            <w:hideMark/>
          </w:tcPr>
          <w:p w14:paraId="73BAE2D2" w14:textId="77777777" w:rsidR="00C54BE9" w:rsidRPr="00C54BE9" w:rsidRDefault="00C54BE9" w:rsidP="00C54BE9">
            <w:pPr>
              <w:spacing w:after="0" w:line="240" w:lineRule="auto"/>
              <w:jc w:val="left"/>
            </w:pPr>
            <w:r w:rsidRPr="00C54BE9">
              <w:t> </w:t>
            </w:r>
          </w:p>
        </w:tc>
      </w:tr>
      <w:tr w:rsidR="00C54BE9" w:rsidRPr="00C54BE9" w14:paraId="5F69FAF6" w14:textId="77777777" w:rsidTr="00D210D0">
        <w:trPr>
          <w:trHeight w:val="300"/>
        </w:trPr>
        <w:tc>
          <w:tcPr>
            <w:tcW w:w="1885" w:type="dxa"/>
            <w:hideMark/>
          </w:tcPr>
          <w:p w14:paraId="05C9FED6" w14:textId="77777777" w:rsidR="00C54BE9" w:rsidRPr="00C54BE9" w:rsidRDefault="00C54BE9" w:rsidP="00C54BE9">
            <w:pPr>
              <w:spacing w:after="0" w:line="240" w:lineRule="auto"/>
              <w:jc w:val="left"/>
            </w:pPr>
            <w:r w:rsidRPr="00C54BE9">
              <w:t>Infrastructure Improvements</w:t>
            </w:r>
          </w:p>
        </w:tc>
        <w:tc>
          <w:tcPr>
            <w:tcW w:w="4950" w:type="dxa"/>
            <w:noWrap/>
            <w:hideMark/>
          </w:tcPr>
          <w:p w14:paraId="314209A5" w14:textId="77777777" w:rsidR="00C54BE9" w:rsidRPr="00C54BE9" w:rsidRDefault="00C54BE9" w:rsidP="00C54BE9">
            <w:pPr>
              <w:spacing w:after="0" w:line="240" w:lineRule="auto"/>
              <w:jc w:val="left"/>
            </w:pPr>
            <w:r w:rsidRPr="00C54BE9">
              <w:t>AAT: Design Review of Phase 2 Plan</w:t>
            </w:r>
          </w:p>
        </w:tc>
        <w:tc>
          <w:tcPr>
            <w:tcW w:w="1620" w:type="dxa"/>
            <w:noWrap/>
            <w:hideMark/>
          </w:tcPr>
          <w:p w14:paraId="4D78D7BB" w14:textId="405D49A7" w:rsidR="00C54BE9" w:rsidRPr="00C54BE9" w:rsidRDefault="00C54BE9" w:rsidP="00C54BE9">
            <w:pPr>
              <w:spacing w:after="0" w:line="240" w:lineRule="auto"/>
              <w:jc w:val="left"/>
            </w:pPr>
          </w:p>
        </w:tc>
        <w:tc>
          <w:tcPr>
            <w:tcW w:w="1440" w:type="dxa"/>
            <w:noWrap/>
            <w:hideMark/>
          </w:tcPr>
          <w:p w14:paraId="2FF90424" w14:textId="289BE3FC" w:rsidR="00C54BE9" w:rsidRPr="00C54BE9" w:rsidRDefault="00C54BE9" w:rsidP="00C54BE9">
            <w:pPr>
              <w:spacing w:after="0" w:line="240" w:lineRule="auto"/>
              <w:jc w:val="left"/>
            </w:pPr>
            <w:r w:rsidRPr="00C54BE9">
              <w:t> </w:t>
            </w:r>
            <w:r w:rsidR="008B1722">
              <w:t>So.1</w:t>
            </w:r>
          </w:p>
        </w:tc>
        <w:tc>
          <w:tcPr>
            <w:tcW w:w="1440" w:type="dxa"/>
            <w:noWrap/>
            <w:hideMark/>
          </w:tcPr>
          <w:p w14:paraId="7F209F6F" w14:textId="77777777" w:rsidR="00C54BE9" w:rsidRPr="00C54BE9" w:rsidRDefault="00C54BE9" w:rsidP="00C54BE9">
            <w:pPr>
              <w:spacing w:after="0" w:line="240" w:lineRule="auto"/>
              <w:jc w:val="left"/>
            </w:pPr>
            <w:r w:rsidRPr="00C54BE9">
              <w:t> </w:t>
            </w:r>
          </w:p>
        </w:tc>
        <w:tc>
          <w:tcPr>
            <w:tcW w:w="1400" w:type="dxa"/>
            <w:noWrap/>
            <w:hideMark/>
          </w:tcPr>
          <w:p w14:paraId="219154AB" w14:textId="77777777" w:rsidR="00C54BE9" w:rsidRPr="00C54BE9" w:rsidRDefault="00C54BE9" w:rsidP="00C54BE9">
            <w:pPr>
              <w:spacing w:after="0" w:line="240" w:lineRule="auto"/>
              <w:jc w:val="left"/>
            </w:pPr>
            <w:r w:rsidRPr="00C54BE9">
              <w:t> </w:t>
            </w:r>
          </w:p>
        </w:tc>
      </w:tr>
      <w:tr w:rsidR="00C54BE9" w:rsidRPr="00C54BE9" w14:paraId="10319EE8" w14:textId="77777777" w:rsidTr="00D210D0">
        <w:trPr>
          <w:trHeight w:val="300"/>
        </w:trPr>
        <w:tc>
          <w:tcPr>
            <w:tcW w:w="1885" w:type="dxa"/>
            <w:hideMark/>
          </w:tcPr>
          <w:p w14:paraId="7FCD9D35" w14:textId="77777777" w:rsidR="00C54BE9" w:rsidRPr="00C54BE9" w:rsidRDefault="00C54BE9" w:rsidP="00C54BE9">
            <w:pPr>
              <w:spacing w:after="0" w:line="240" w:lineRule="auto"/>
              <w:jc w:val="left"/>
            </w:pPr>
            <w:r w:rsidRPr="00C54BE9">
              <w:t>Infrastructure Improvements</w:t>
            </w:r>
          </w:p>
        </w:tc>
        <w:tc>
          <w:tcPr>
            <w:tcW w:w="4950" w:type="dxa"/>
            <w:noWrap/>
            <w:hideMark/>
          </w:tcPr>
          <w:p w14:paraId="0E150566" w14:textId="77777777" w:rsidR="00C54BE9" w:rsidRPr="00C54BE9" w:rsidRDefault="00C54BE9" w:rsidP="00C54BE9">
            <w:pPr>
              <w:spacing w:after="0" w:line="240" w:lineRule="auto"/>
              <w:jc w:val="left"/>
            </w:pPr>
            <w:r w:rsidRPr="00C54BE9">
              <w:t>AAT: Archive infrastructure in Data Center</w:t>
            </w:r>
          </w:p>
        </w:tc>
        <w:tc>
          <w:tcPr>
            <w:tcW w:w="1620" w:type="dxa"/>
            <w:noWrap/>
            <w:hideMark/>
          </w:tcPr>
          <w:p w14:paraId="577CD95E" w14:textId="77777777" w:rsidR="00C54BE9" w:rsidRPr="00C54BE9" w:rsidRDefault="00C54BE9" w:rsidP="00C54BE9">
            <w:pPr>
              <w:spacing w:after="0" w:line="240" w:lineRule="auto"/>
              <w:jc w:val="left"/>
            </w:pPr>
            <w:r w:rsidRPr="00C54BE9">
              <w:t> </w:t>
            </w:r>
          </w:p>
        </w:tc>
        <w:tc>
          <w:tcPr>
            <w:tcW w:w="1440" w:type="dxa"/>
            <w:noWrap/>
            <w:hideMark/>
          </w:tcPr>
          <w:p w14:paraId="6BABD7A4" w14:textId="77777777" w:rsidR="00C54BE9" w:rsidRPr="00C54BE9" w:rsidRDefault="00C54BE9" w:rsidP="00C54BE9">
            <w:pPr>
              <w:spacing w:after="0" w:line="240" w:lineRule="auto"/>
              <w:jc w:val="left"/>
            </w:pPr>
            <w:r w:rsidRPr="00C54BE9">
              <w:t> </w:t>
            </w:r>
          </w:p>
        </w:tc>
        <w:tc>
          <w:tcPr>
            <w:tcW w:w="1440" w:type="dxa"/>
            <w:noWrap/>
            <w:hideMark/>
          </w:tcPr>
          <w:p w14:paraId="3A7CAF61" w14:textId="77777777" w:rsidR="00C54BE9" w:rsidRPr="00C54BE9" w:rsidRDefault="00C54BE9" w:rsidP="00C54BE9">
            <w:pPr>
              <w:spacing w:after="0" w:line="240" w:lineRule="auto"/>
              <w:jc w:val="left"/>
            </w:pPr>
            <w:r w:rsidRPr="00C54BE9">
              <w:t> </w:t>
            </w:r>
          </w:p>
        </w:tc>
        <w:tc>
          <w:tcPr>
            <w:tcW w:w="1400" w:type="dxa"/>
            <w:noWrap/>
            <w:hideMark/>
          </w:tcPr>
          <w:p w14:paraId="5C60FF5E" w14:textId="77777777" w:rsidR="00C54BE9" w:rsidRPr="00C54BE9" w:rsidRDefault="00C54BE9" w:rsidP="00C54BE9">
            <w:pPr>
              <w:spacing w:after="0" w:line="240" w:lineRule="auto"/>
              <w:jc w:val="left"/>
            </w:pPr>
            <w:r w:rsidRPr="00C54BE9">
              <w:t>So.2</w:t>
            </w:r>
          </w:p>
        </w:tc>
      </w:tr>
      <w:tr w:rsidR="00C54BE9" w:rsidRPr="00C54BE9" w14:paraId="79296995" w14:textId="77777777" w:rsidTr="00D210D0">
        <w:trPr>
          <w:trHeight w:val="300"/>
        </w:trPr>
        <w:tc>
          <w:tcPr>
            <w:tcW w:w="1885" w:type="dxa"/>
            <w:hideMark/>
          </w:tcPr>
          <w:p w14:paraId="5AA9D105" w14:textId="77777777" w:rsidR="00C54BE9" w:rsidRPr="00C54BE9" w:rsidRDefault="00C54BE9" w:rsidP="00C54BE9">
            <w:pPr>
              <w:spacing w:after="0" w:line="240" w:lineRule="auto"/>
              <w:jc w:val="left"/>
            </w:pPr>
            <w:r w:rsidRPr="00C54BE9">
              <w:t>Infrastructure Improvements</w:t>
            </w:r>
          </w:p>
        </w:tc>
        <w:tc>
          <w:tcPr>
            <w:tcW w:w="4950" w:type="dxa"/>
            <w:noWrap/>
            <w:hideMark/>
          </w:tcPr>
          <w:p w14:paraId="6642DBD7" w14:textId="77777777" w:rsidR="00940436" w:rsidRDefault="00C54BE9" w:rsidP="00C54BE9">
            <w:pPr>
              <w:spacing w:after="0" w:line="240" w:lineRule="auto"/>
              <w:jc w:val="left"/>
            </w:pPr>
            <w:r w:rsidRPr="00C54BE9">
              <w:t>ARGUS Calibration Vane Upgrade </w:t>
            </w:r>
          </w:p>
          <w:p w14:paraId="3FC48322" w14:textId="0A3D21B5" w:rsidR="00C54BE9" w:rsidRPr="00C54BE9" w:rsidRDefault="00C54BE9" w:rsidP="00C54BE9">
            <w:pPr>
              <w:spacing w:after="0" w:line="240" w:lineRule="auto"/>
              <w:jc w:val="left"/>
            </w:pPr>
            <w:r w:rsidRPr="00C54BE9">
              <w:t>(FY</w:t>
            </w:r>
            <w:r w:rsidR="00940436">
              <w:t>20</w:t>
            </w:r>
            <w:r w:rsidRPr="00C54BE9">
              <w:t>21 carry forward)</w:t>
            </w:r>
          </w:p>
        </w:tc>
        <w:tc>
          <w:tcPr>
            <w:tcW w:w="1620" w:type="dxa"/>
            <w:noWrap/>
            <w:hideMark/>
          </w:tcPr>
          <w:p w14:paraId="70E792C7" w14:textId="77777777" w:rsidR="00C54BE9" w:rsidRPr="00C54BE9" w:rsidRDefault="00C54BE9" w:rsidP="00C54BE9">
            <w:pPr>
              <w:spacing w:after="0" w:line="240" w:lineRule="auto"/>
              <w:jc w:val="left"/>
            </w:pPr>
            <w:r w:rsidRPr="00C54BE9">
              <w:t> </w:t>
            </w:r>
          </w:p>
        </w:tc>
        <w:tc>
          <w:tcPr>
            <w:tcW w:w="1440" w:type="dxa"/>
            <w:noWrap/>
            <w:hideMark/>
          </w:tcPr>
          <w:p w14:paraId="7EF6DDEA" w14:textId="77777777" w:rsidR="00C54BE9" w:rsidRPr="00C54BE9" w:rsidRDefault="00C54BE9" w:rsidP="00C54BE9">
            <w:pPr>
              <w:spacing w:after="0" w:line="240" w:lineRule="auto"/>
              <w:jc w:val="left"/>
            </w:pPr>
            <w:r w:rsidRPr="00C54BE9">
              <w:t>E.3</w:t>
            </w:r>
          </w:p>
        </w:tc>
        <w:tc>
          <w:tcPr>
            <w:tcW w:w="1440" w:type="dxa"/>
            <w:noWrap/>
            <w:hideMark/>
          </w:tcPr>
          <w:p w14:paraId="5FAC6380" w14:textId="77777777" w:rsidR="00C54BE9" w:rsidRPr="00C54BE9" w:rsidRDefault="00C54BE9" w:rsidP="00C54BE9">
            <w:pPr>
              <w:spacing w:after="0" w:line="240" w:lineRule="auto"/>
              <w:jc w:val="left"/>
            </w:pPr>
            <w:r w:rsidRPr="00C54BE9">
              <w:t> </w:t>
            </w:r>
          </w:p>
        </w:tc>
        <w:tc>
          <w:tcPr>
            <w:tcW w:w="1400" w:type="dxa"/>
            <w:noWrap/>
            <w:hideMark/>
          </w:tcPr>
          <w:p w14:paraId="73720B53" w14:textId="77777777" w:rsidR="00C54BE9" w:rsidRPr="00C54BE9" w:rsidRDefault="00C54BE9" w:rsidP="00C54BE9">
            <w:pPr>
              <w:spacing w:after="0" w:line="240" w:lineRule="auto"/>
              <w:jc w:val="left"/>
            </w:pPr>
            <w:r w:rsidRPr="00C54BE9">
              <w:t> </w:t>
            </w:r>
          </w:p>
        </w:tc>
      </w:tr>
      <w:tr w:rsidR="00C54BE9" w:rsidRPr="00C54BE9" w14:paraId="6D528EE5" w14:textId="77777777" w:rsidTr="00D210D0">
        <w:trPr>
          <w:trHeight w:val="525"/>
        </w:trPr>
        <w:tc>
          <w:tcPr>
            <w:tcW w:w="1885" w:type="dxa"/>
            <w:hideMark/>
          </w:tcPr>
          <w:p w14:paraId="44C471D7" w14:textId="77777777" w:rsidR="00C54BE9" w:rsidRPr="00C54BE9" w:rsidRDefault="00C54BE9" w:rsidP="00C54BE9">
            <w:pPr>
              <w:spacing w:after="0" w:line="240" w:lineRule="auto"/>
              <w:jc w:val="left"/>
            </w:pPr>
            <w:r w:rsidRPr="00C54BE9">
              <w:t>Infrastructure Improvements</w:t>
            </w:r>
          </w:p>
        </w:tc>
        <w:tc>
          <w:tcPr>
            <w:tcW w:w="4950" w:type="dxa"/>
            <w:hideMark/>
          </w:tcPr>
          <w:p w14:paraId="3F50108F" w14:textId="7CD7CAD4" w:rsidR="00C54BE9" w:rsidRPr="00C54BE9" w:rsidRDefault="00C54BE9" w:rsidP="00C54BE9">
            <w:pPr>
              <w:spacing w:after="0" w:line="240" w:lineRule="auto"/>
              <w:jc w:val="left"/>
            </w:pPr>
            <w:r w:rsidRPr="00C54BE9">
              <w:t>DSS 2.0 Initial Science &amp; Operations Requirements (FY</w:t>
            </w:r>
            <w:r w:rsidR="00940436">
              <w:t>20</w:t>
            </w:r>
            <w:r w:rsidRPr="00C54BE9">
              <w:t>21 carry forward)</w:t>
            </w:r>
          </w:p>
        </w:tc>
        <w:tc>
          <w:tcPr>
            <w:tcW w:w="1620" w:type="dxa"/>
            <w:hideMark/>
          </w:tcPr>
          <w:p w14:paraId="7D98146A" w14:textId="77777777" w:rsidR="00C54BE9" w:rsidRPr="00C54BE9" w:rsidRDefault="00C54BE9" w:rsidP="00C54BE9">
            <w:pPr>
              <w:spacing w:after="0" w:line="240" w:lineRule="auto"/>
              <w:jc w:val="left"/>
            </w:pPr>
            <w:r w:rsidRPr="00C54BE9">
              <w:t> </w:t>
            </w:r>
          </w:p>
        </w:tc>
        <w:tc>
          <w:tcPr>
            <w:tcW w:w="1440" w:type="dxa"/>
            <w:hideMark/>
          </w:tcPr>
          <w:p w14:paraId="4E5417E0" w14:textId="77777777" w:rsidR="00C54BE9" w:rsidRPr="00C54BE9" w:rsidRDefault="00C54BE9" w:rsidP="00C54BE9">
            <w:pPr>
              <w:spacing w:after="0" w:line="240" w:lineRule="auto"/>
              <w:jc w:val="left"/>
            </w:pPr>
            <w:r w:rsidRPr="00C54BE9">
              <w:t> </w:t>
            </w:r>
          </w:p>
        </w:tc>
        <w:tc>
          <w:tcPr>
            <w:tcW w:w="1440" w:type="dxa"/>
            <w:hideMark/>
          </w:tcPr>
          <w:p w14:paraId="0B24BF79" w14:textId="77777777" w:rsidR="00C54BE9" w:rsidRPr="00C54BE9" w:rsidRDefault="00C54BE9" w:rsidP="00C54BE9">
            <w:pPr>
              <w:spacing w:after="0" w:line="240" w:lineRule="auto"/>
              <w:jc w:val="left"/>
            </w:pPr>
            <w:r w:rsidRPr="00C54BE9">
              <w:t> </w:t>
            </w:r>
          </w:p>
        </w:tc>
        <w:tc>
          <w:tcPr>
            <w:tcW w:w="1400" w:type="dxa"/>
            <w:hideMark/>
          </w:tcPr>
          <w:p w14:paraId="1BD2494B" w14:textId="7745D263" w:rsidR="00C54BE9" w:rsidRPr="00C54BE9" w:rsidRDefault="00C54BE9" w:rsidP="00C54BE9">
            <w:pPr>
              <w:spacing w:after="0" w:line="240" w:lineRule="auto"/>
              <w:jc w:val="left"/>
            </w:pPr>
            <w:r w:rsidRPr="00C54BE9">
              <w:t>Sc.1</w:t>
            </w:r>
            <w:r w:rsidR="008B1722">
              <w:t>2</w:t>
            </w:r>
          </w:p>
        </w:tc>
      </w:tr>
      <w:tr w:rsidR="00C54BE9" w:rsidRPr="00C54BE9" w14:paraId="452DD273" w14:textId="77777777" w:rsidTr="00D210D0">
        <w:trPr>
          <w:trHeight w:val="300"/>
        </w:trPr>
        <w:tc>
          <w:tcPr>
            <w:tcW w:w="1885" w:type="dxa"/>
            <w:hideMark/>
          </w:tcPr>
          <w:p w14:paraId="1340E06E" w14:textId="77777777" w:rsidR="00C54BE9" w:rsidRPr="00C54BE9" w:rsidRDefault="00C54BE9" w:rsidP="00C54BE9">
            <w:pPr>
              <w:spacing w:after="0" w:line="240" w:lineRule="auto"/>
              <w:jc w:val="left"/>
            </w:pPr>
            <w:r w:rsidRPr="00C54BE9">
              <w:t>Infrastructure Improvements</w:t>
            </w:r>
          </w:p>
        </w:tc>
        <w:tc>
          <w:tcPr>
            <w:tcW w:w="4950" w:type="dxa"/>
            <w:noWrap/>
            <w:hideMark/>
          </w:tcPr>
          <w:p w14:paraId="3AEE8B8B" w14:textId="77777777" w:rsidR="00C54BE9" w:rsidRPr="00C54BE9" w:rsidRDefault="00C54BE9" w:rsidP="00C54BE9">
            <w:pPr>
              <w:spacing w:after="0" w:line="240" w:lineRule="auto"/>
              <w:jc w:val="left"/>
            </w:pPr>
            <w:r w:rsidRPr="00C54BE9">
              <w:t xml:space="preserve">X Band Receiver Hardware assembly </w:t>
            </w:r>
          </w:p>
        </w:tc>
        <w:tc>
          <w:tcPr>
            <w:tcW w:w="1620" w:type="dxa"/>
            <w:noWrap/>
            <w:hideMark/>
          </w:tcPr>
          <w:p w14:paraId="6C6C1415" w14:textId="77777777" w:rsidR="00C54BE9" w:rsidRPr="00C54BE9" w:rsidRDefault="00C54BE9" w:rsidP="00C54BE9">
            <w:pPr>
              <w:spacing w:after="0" w:line="240" w:lineRule="auto"/>
              <w:jc w:val="left"/>
            </w:pPr>
            <w:r w:rsidRPr="00C54BE9">
              <w:t> </w:t>
            </w:r>
          </w:p>
        </w:tc>
        <w:tc>
          <w:tcPr>
            <w:tcW w:w="1440" w:type="dxa"/>
            <w:noWrap/>
            <w:hideMark/>
          </w:tcPr>
          <w:p w14:paraId="094B5980" w14:textId="77777777" w:rsidR="00C54BE9" w:rsidRPr="00C54BE9" w:rsidRDefault="00C54BE9" w:rsidP="00C54BE9">
            <w:pPr>
              <w:spacing w:after="0" w:line="240" w:lineRule="auto"/>
              <w:jc w:val="left"/>
            </w:pPr>
            <w:r w:rsidRPr="00C54BE9">
              <w:t>E.4</w:t>
            </w:r>
          </w:p>
        </w:tc>
        <w:tc>
          <w:tcPr>
            <w:tcW w:w="1440" w:type="dxa"/>
            <w:noWrap/>
            <w:hideMark/>
          </w:tcPr>
          <w:p w14:paraId="2AB53E52" w14:textId="77777777" w:rsidR="00C54BE9" w:rsidRPr="00C54BE9" w:rsidRDefault="00C54BE9" w:rsidP="00C54BE9">
            <w:pPr>
              <w:spacing w:after="0" w:line="240" w:lineRule="auto"/>
              <w:jc w:val="left"/>
            </w:pPr>
            <w:r w:rsidRPr="00C54BE9">
              <w:t> </w:t>
            </w:r>
          </w:p>
        </w:tc>
        <w:tc>
          <w:tcPr>
            <w:tcW w:w="1400" w:type="dxa"/>
            <w:noWrap/>
            <w:hideMark/>
          </w:tcPr>
          <w:p w14:paraId="062499D2" w14:textId="77777777" w:rsidR="00C54BE9" w:rsidRPr="00C54BE9" w:rsidRDefault="00C54BE9" w:rsidP="00C54BE9">
            <w:pPr>
              <w:spacing w:after="0" w:line="240" w:lineRule="auto"/>
              <w:jc w:val="left"/>
            </w:pPr>
            <w:r w:rsidRPr="00C54BE9">
              <w:t> </w:t>
            </w:r>
          </w:p>
        </w:tc>
      </w:tr>
      <w:tr w:rsidR="00C54BE9" w:rsidRPr="00C54BE9" w14:paraId="1DA6A315" w14:textId="77777777" w:rsidTr="00D210D0">
        <w:trPr>
          <w:trHeight w:val="300"/>
        </w:trPr>
        <w:tc>
          <w:tcPr>
            <w:tcW w:w="1885" w:type="dxa"/>
            <w:hideMark/>
          </w:tcPr>
          <w:p w14:paraId="09EF525C" w14:textId="77777777" w:rsidR="00C54BE9" w:rsidRPr="00C54BE9" w:rsidRDefault="00C54BE9" w:rsidP="00C54BE9">
            <w:pPr>
              <w:spacing w:after="0" w:line="240" w:lineRule="auto"/>
              <w:jc w:val="left"/>
            </w:pPr>
            <w:r w:rsidRPr="00C54BE9">
              <w:t>Infrastructure Improvements</w:t>
            </w:r>
          </w:p>
        </w:tc>
        <w:tc>
          <w:tcPr>
            <w:tcW w:w="4950" w:type="dxa"/>
            <w:noWrap/>
            <w:hideMark/>
          </w:tcPr>
          <w:p w14:paraId="3D3738F6" w14:textId="77777777" w:rsidR="00C54BE9" w:rsidRPr="00C54BE9" w:rsidRDefault="00C54BE9" w:rsidP="00C54BE9">
            <w:pPr>
              <w:spacing w:after="0" w:line="240" w:lineRule="auto"/>
              <w:jc w:val="left"/>
            </w:pPr>
            <w:r w:rsidRPr="00C54BE9">
              <w:t>X Band Receiver Integration Testing</w:t>
            </w:r>
          </w:p>
        </w:tc>
        <w:tc>
          <w:tcPr>
            <w:tcW w:w="1620" w:type="dxa"/>
            <w:noWrap/>
            <w:hideMark/>
          </w:tcPr>
          <w:p w14:paraId="0A910F49" w14:textId="77777777" w:rsidR="00C54BE9" w:rsidRPr="00C54BE9" w:rsidRDefault="00C54BE9" w:rsidP="00C54BE9">
            <w:pPr>
              <w:spacing w:after="0" w:line="240" w:lineRule="auto"/>
              <w:jc w:val="left"/>
            </w:pPr>
            <w:r w:rsidRPr="00C54BE9">
              <w:t> </w:t>
            </w:r>
          </w:p>
        </w:tc>
        <w:tc>
          <w:tcPr>
            <w:tcW w:w="1440" w:type="dxa"/>
            <w:noWrap/>
            <w:hideMark/>
          </w:tcPr>
          <w:p w14:paraId="7A0415CB" w14:textId="77777777" w:rsidR="00C54BE9" w:rsidRPr="00C54BE9" w:rsidRDefault="00C54BE9" w:rsidP="00C54BE9">
            <w:pPr>
              <w:spacing w:after="0" w:line="240" w:lineRule="auto"/>
              <w:jc w:val="left"/>
            </w:pPr>
            <w:r w:rsidRPr="00C54BE9">
              <w:t> </w:t>
            </w:r>
          </w:p>
        </w:tc>
        <w:tc>
          <w:tcPr>
            <w:tcW w:w="1440" w:type="dxa"/>
            <w:noWrap/>
            <w:hideMark/>
          </w:tcPr>
          <w:p w14:paraId="09C50862" w14:textId="77777777" w:rsidR="00C54BE9" w:rsidRPr="00C54BE9" w:rsidRDefault="00C54BE9" w:rsidP="00C54BE9">
            <w:pPr>
              <w:spacing w:after="0" w:line="240" w:lineRule="auto"/>
              <w:jc w:val="left"/>
            </w:pPr>
            <w:r w:rsidRPr="00C54BE9">
              <w:t>E.5</w:t>
            </w:r>
          </w:p>
        </w:tc>
        <w:tc>
          <w:tcPr>
            <w:tcW w:w="1400" w:type="dxa"/>
            <w:noWrap/>
            <w:hideMark/>
          </w:tcPr>
          <w:p w14:paraId="66DF3FFC" w14:textId="77777777" w:rsidR="00C54BE9" w:rsidRPr="00C54BE9" w:rsidRDefault="00C54BE9" w:rsidP="00C54BE9">
            <w:pPr>
              <w:spacing w:after="0" w:line="240" w:lineRule="auto"/>
              <w:jc w:val="left"/>
            </w:pPr>
            <w:r w:rsidRPr="00C54BE9">
              <w:t> </w:t>
            </w:r>
          </w:p>
        </w:tc>
      </w:tr>
      <w:tr w:rsidR="00C54BE9" w:rsidRPr="00C54BE9" w14:paraId="549DD5DB" w14:textId="77777777" w:rsidTr="00D210D0">
        <w:trPr>
          <w:trHeight w:val="300"/>
        </w:trPr>
        <w:tc>
          <w:tcPr>
            <w:tcW w:w="1885" w:type="dxa"/>
            <w:hideMark/>
          </w:tcPr>
          <w:p w14:paraId="1CCB0BC3" w14:textId="77777777" w:rsidR="00C54BE9" w:rsidRPr="00C54BE9" w:rsidRDefault="00C54BE9" w:rsidP="00C54BE9">
            <w:pPr>
              <w:spacing w:after="0" w:line="240" w:lineRule="auto"/>
              <w:jc w:val="left"/>
            </w:pPr>
            <w:r w:rsidRPr="00C54BE9">
              <w:t>Infrastructure Improvements</w:t>
            </w:r>
          </w:p>
        </w:tc>
        <w:tc>
          <w:tcPr>
            <w:tcW w:w="4950" w:type="dxa"/>
            <w:noWrap/>
            <w:hideMark/>
          </w:tcPr>
          <w:p w14:paraId="348EF4FB" w14:textId="77777777" w:rsidR="00C54BE9" w:rsidRPr="00C54BE9" w:rsidRDefault="00C54BE9" w:rsidP="00C54BE9">
            <w:pPr>
              <w:spacing w:after="0" w:line="240" w:lineRule="auto"/>
              <w:jc w:val="left"/>
            </w:pPr>
            <w:r w:rsidRPr="00C54BE9">
              <w:t>X Band Receiver Software Integration Testing</w:t>
            </w:r>
          </w:p>
        </w:tc>
        <w:tc>
          <w:tcPr>
            <w:tcW w:w="1620" w:type="dxa"/>
            <w:noWrap/>
            <w:hideMark/>
          </w:tcPr>
          <w:p w14:paraId="6B59236A" w14:textId="77777777" w:rsidR="00C54BE9" w:rsidRPr="00C54BE9" w:rsidRDefault="00C54BE9" w:rsidP="00C54BE9">
            <w:pPr>
              <w:spacing w:after="0" w:line="240" w:lineRule="auto"/>
              <w:jc w:val="left"/>
            </w:pPr>
            <w:r w:rsidRPr="00C54BE9">
              <w:t> </w:t>
            </w:r>
          </w:p>
        </w:tc>
        <w:tc>
          <w:tcPr>
            <w:tcW w:w="1440" w:type="dxa"/>
            <w:noWrap/>
            <w:hideMark/>
          </w:tcPr>
          <w:p w14:paraId="55B0785E" w14:textId="77777777" w:rsidR="00C54BE9" w:rsidRPr="00C54BE9" w:rsidRDefault="00C54BE9" w:rsidP="00C54BE9">
            <w:pPr>
              <w:spacing w:after="0" w:line="240" w:lineRule="auto"/>
              <w:jc w:val="left"/>
            </w:pPr>
            <w:r w:rsidRPr="00C54BE9">
              <w:t> </w:t>
            </w:r>
          </w:p>
        </w:tc>
        <w:tc>
          <w:tcPr>
            <w:tcW w:w="1440" w:type="dxa"/>
            <w:noWrap/>
            <w:hideMark/>
          </w:tcPr>
          <w:p w14:paraId="6E06867D" w14:textId="77777777" w:rsidR="00C54BE9" w:rsidRPr="00C54BE9" w:rsidRDefault="00C54BE9" w:rsidP="00C54BE9">
            <w:pPr>
              <w:spacing w:after="0" w:line="240" w:lineRule="auto"/>
              <w:jc w:val="left"/>
            </w:pPr>
            <w:r w:rsidRPr="00C54BE9">
              <w:t>So.7</w:t>
            </w:r>
          </w:p>
        </w:tc>
        <w:tc>
          <w:tcPr>
            <w:tcW w:w="1400" w:type="dxa"/>
            <w:noWrap/>
            <w:hideMark/>
          </w:tcPr>
          <w:p w14:paraId="0B62492C" w14:textId="77777777" w:rsidR="00C54BE9" w:rsidRPr="00C54BE9" w:rsidRDefault="00C54BE9" w:rsidP="00C54BE9">
            <w:pPr>
              <w:spacing w:after="0" w:line="240" w:lineRule="auto"/>
              <w:jc w:val="left"/>
            </w:pPr>
            <w:r w:rsidRPr="00C54BE9">
              <w:t> </w:t>
            </w:r>
          </w:p>
        </w:tc>
      </w:tr>
      <w:tr w:rsidR="00C54BE9" w:rsidRPr="00C54BE9" w14:paraId="3BA5134A" w14:textId="77777777" w:rsidTr="00D210D0">
        <w:trPr>
          <w:trHeight w:val="300"/>
        </w:trPr>
        <w:tc>
          <w:tcPr>
            <w:tcW w:w="1885" w:type="dxa"/>
            <w:hideMark/>
          </w:tcPr>
          <w:p w14:paraId="4622073A" w14:textId="77777777" w:rsidR="00C54BE9" w:rsidRPr="00C54BE9" w:rsidRDefault="00C54BE9" w:rsidP="00C54BE9">
            <w:pPr>
              <w:spacing w:after="0" w:line="240" w:lineRule="auto"/>
              <w:jc w:val="left"/>
            </w:pPr>
            <w:r w:rsidRPr="00C54BE9">
              <w:t>Infrastructure Improvements</w:t>
            </w:r>
          </w:p>
        </w:tc>
        <w:tc>
          <w:tcPr>
            <w:tcW w:w="4950" w:type="dxa"/>
            <w:noWrap/>
            <w:hideMark/>
          </w:tcPr>
          <w:p w14:paraId="227C1FA7" w14:textId="77777777" w:rsidR="00C54BE9" w:rsidRPr="00C54BE9" w:rsidRDefault="00C54BE9" w:rsidP="00C54BE9">
            <w:pPr>
              <w:spacing w:after="0" w:line="240" w:lineRule="auto"/>
              <w:jc w:val="left"/>
            </w:pPr>
            <w:r w:rsidRPr="00C54BE9">
              <w:t>X Band Receiver Lab Testing</w:t>
            </w:r>
          </w:p>
        </w:tc>
        <w:tc>
          <w:tcPr>
            <w:tcW w:w="1620" w:type="dxa"/>
            <w:noWrap/>
            <w:hideMark/>
          </w:tcPr>
          <w:p w14:paraId="0ED70C82" w14:textId="77777777" w:rsidR="00C54BE9" w:rsidRPr="00C54BE9" w:rsidRDefault="00C54BE9" w:rsidP="00C54BE9">
            <w:pPr>
              <w:spacing w:after="0" w:line="240" w:lineRule="auto"/>
              <w:jc w:val="left"/>
            </w:pPr>
            <w:r w:rsidRPr="00C54BE9">
              <w:t> </w:t>
            </w:r>
          </w:p>
        </w:tc>
        <w:tc>
          <w:tcPr>
            <w:tcW w:w="1440" w:type="dxa"/>
            <w:noWrap/>
            <w:hideMark/>
          </w:tcPr>
          <w:p w14:paraId="6B078B99" w14:textId="77777777" w:rsidR="00C54BE9" w:rsidRPr="00C54BE9" w:rsidRDefault="00C54BE9" w:rsidP="00C54BE9">
            <w:pPr>
              <w:spacing w:after="0" w:line="240" w:lineRule="auto"/>
              <w:jc w:val="left"/>
            </w:pPr>
            <w:r w:rsidRPr="00C54BE9">
              <w:t> </w:t>
            </w:r>
          </w:p>
        </w:tc>
        <w:tc>
          <w:tcPr>
            <w:tcW w:w="1440" w:type="dxa"/>
            <w:noWrap/>
            <w:hideMark/>
          </w:tcPr>
          <w:p w14:paraId="1B836B83" w14:textId="77777777" w:rsidR="00C54BE9" w:rsidRPr="00C54BE9" w:rsidRDefault="00C54BE9" w:rsidP="00C54BE9">
            <w:pPr>
              <w:spacing w:after="0" w:line="240" w:lineRule="auto"/>
              <w:jc w:val="left"/>
            </w:pPr>
            <w:r w:rsidRPr="00C54BE9">
              <w:t> </w:t>
            </w:r>
          </w:p>
        </w:tc>
        <w:tc>
          <w:tcPr>
            <w:tcW w:w="1400" w:type="dxa"/>
            <w:noWrap/>
            <w:hideMark/>
          </w:tcPr>
          <w:p w14:paraId="1BC04F0B" w14:textId="77777777" w:rsidR="00C54BE9" w:rsidRPr="00C54BE9" w:rsidRDefault="00C54BE9" w:rsidP="00C54BE9">
            <w:pPr>
              <w:spacing w:after="0" w:line="240" w:lineRule="auto"/>
              <w:jc w:val="left"/>
            </w:pPr>
            <w:r w:rsidRPr="00C54BE9">
              <w:t>E.6</w:t>
            </w:r>
          </w:p>
        </w:tc>
      </w:tr>
      <w:tr w:rsidR="00C54BE9" w:rsidRPr="00C54BE9" w14:paraId="79660255" w14:textId="77777777" w:rsidTr="00D210D0">
        <w:trPr>
          <w:trHeight w:val="300"/>
        </w:trPr>
        <w:tc>
          <w:tcPr>
            <w:tcW w:w="1885" w:type="dxa"/>
            <w:hideMark/>
          </w:tcPr>
          <w:p w14:paraId="46E1E3DC" w14:textId="77777777" w:rsidR="00C54BE9" w:rsidRPr="00C54BE9" w:rsidRDefault="00C54BE9" w:rsidP="00C54BE9">
            <w:pPr>
              <w:spacing w:after="0" w:line="240" w:lineRule="auto"/>
              <w:jc w:val="left"/>
            </w:pPr>
            <w:r w:rsidRPr="00C54BE9">
              <w:lastRenderedPageBreak/>
              <w:t>Infrastructure Improvements</w:t>
            </w:r>
          </w:p>
        </w:tc>
        <w:tc>
          <w:tcPr>
            <w:tcW w:w="4950" w:type="dxa"/>
            <w:noWrap/>
            <w:hideMark/>
          </w:tcPr>
          <w:p w14:paraId="62EF50ED" w14:textId="77777777" w:rsidR="00C54BE9" w:rsidRPr="00C54BE9" w:rsidRDefault="00C54BE9" w:rsidP="00C54BE9">
            <w:pPr>
              <w:spacing w:after="0" w:line="240" w:lineRule="auto"/>
              <w:jc w:val="left"/>
            </w:pPr>
            <w:r w:rsidRPr="00C54BE9">
              <w:t>X Band Receiver Commissioning</w:t>
            </w:r>
          </w:p>
        </w:tc>
        <w:tc>
          <w:tcPr>
            <w:tcW w:w="1620" w:type="dxa"/>
            <w:noWrap/>
            <w:hideMark/>
          </w:tcPr>
          <w:p w14:paraId="1200846B" w14:textId="77777777" w:rsidR="00C54BE9" w:rsidRPr="00C54BE9" w:rsidRDefault="00C54BE9" w:rsidP="00C54BE9">
            <w:pPr>
              <w:spacing w:after="0" w:line="240" w:lineRule="auto"/>
              <w:jc w:val="left"/>
            </w:pPr>
            <w:r w:rsidRPr="00C54BE9">
              <w:t> </w:t>
            </w:r>
          </w:p>
        </w:tc>
        <w:tc>
          <w:tcPr>
            <w:tcW w:w="1440" w:type="dxa"/>
            <w:noWrap/>
            <w:hideMark/>
          </w:tcPr>
          <w:p w14:paraId="38E4BB10" w14:textId="77777777" w:rsidR="00C54BE9" w:rsidRPr="00C54BE9" w:rsidRDefault="00C54BE9" w:rsidP="00C54BE9">
            <w:pPr>
              <w:spacing w:after="0" w:line="240" w:lineRule="auto"/>
              <w:jc w:val="left"/>
            </w:pPr>
            <w:r w:rsidRPr="00C54BE9">
              <w:t> </w:t>
            </w:r>
          </w:p>
        </w:tc>
        <w:tc>
          <w:tcPr>
            <w:tcW w:w="1440" w:type="dxa"/>
            <w:noWrap/>
            <w:hideMark/>
          </w:tcPr>
          <w:p w14:paraId="39E92583" w14:textId="77777777" w:rsidR="00C54BE9" w:rsidRPr="00C54BE9" w:rsidRDefault="00C54BE9" w:rsidP="00C54BE9">
            <w:pPr>
              <w:spacing w:after="0" w:line="240" w:lineRule="auto"/>
              <w:jc w:val="left"/>
            </w:pPr>
            <w:r w:rsidRPr="00C54BE9">
              <w:t> </w:t>
            </w:r>
          </w:p>
        </w:tc>
        <w:tc>
          <w:tcPr>
            <w:tcW w:w="1400" w:type="dxa"/>
            <w:noWrap/>
            <w:hideMark/>
          </w:tcPr>
          <w:p w14:paraId="4050DE1E" w14:textId="77777777" w:rsidR="00C54BE9" w:rsidRPr="00C54BE9" w:rsidRDefault="00C54BE9" w:rsidP="00C54BE9">
            <w:pPr>
              <w:spacing w:after="0" w:line="240" w:lineRule="auto"/>
              <w:jc w:val="left"/>
            </w:pPr>
            <w:r w:rsidRPr="00C54BE9">
              <w:t>Sc.19</w:t>
            </w:r>
          </w:p>
        </w:tc>
      </w:tr>
      <w:tr w:rsidR="00C54BE9" w:rsidRPr="00C54BE9" w14:paraId="10275809" w14:textId="77777777" w:rsidTr="00D210D0">
        <w:trPr>
          <w:trHeight w:val="300"/>
        </w:trPr>
        <w:tc>
          <w:tcPr>
            <w:tcW w:w="1885" w:type="dxa"/>
            <w:hideMark/>
          </w:tcPr>
          <w:p w14:paraId="59746420" w14:textId="77777777" w:rsidR="00C54BE9" w:rsidRPr="00C54BE9" w:rsidRDefault="00C54BE9" w:rsidP="00C54BE9">
            <w:pPr>
              <w:spacing w:after="0" w:line="240" w:lineRule="auto"/>
              <w:jc w:val="left"/>
            </w:pPr>
            <w:r w:rsidRPr="00C54BE9">
              <w:t>Infrastructure Improvements</w:t>
            </w:r>
          </w:p>
        </w:tc>
        <w:tc>
          <w:tcPr>
            <w:tcW w:w="4950" w:type="dxa"/>
            <w:noWrap/>
            <w:hideMark/>
          </w:tcPr>
          <w:p w14:paraId="6131F32B" w14:textId="77777777" w:rsidR="00C54BE9" w:rsidRPr="00C54BE9" w:rsidRDefault="00C54BE9" w:rsidP="00C54BE9">
            <w:pPr>
              <w:spacing w:after="0" w:line="240" w:lineRule="auto"/>
              <w:jc w:val="left"/>
            </w:pPr>
            <w:r w:rsidRPr="00C54BE9">
              <w:t>TTAT Development Support</w:t>
            </w:r>
          </w:p>
        </w:tc>
        <w:tc>
          <w:tcPr>
            <w:tcW w:w="1620" w:type="dxa"/>
            <w:noWrap/>
            <w:hideMark/>
          </w:tcPr>
          <w:p w14:paraId="544AA6C4" w14:textId="77777777" w:rsidR="00C54BE9" w:rsidRPr="00C54BE9" w:rsidRDefault="00C54BE9" w:rsidP="00C54BE9">
            <w:pPr>
              <w:spacing w:after="0" w:line="240" w:lineRule="auto"/>
              <w:jc w:val="left"/>
            </w:pPr>
            <w:r w:rsidRPr="00C54BE9">
              <w:t>So.3</w:t>
            </w:r>
          </w:p>
        </w:tc>
        <w:tc>
          <w:tcPr>
            <w:tcW w:w="1440" w:type="dxa"/>
            <w:noWrap/>
            <w:hideMark/>
          </w:tcPr>
          <w:p w14:paraId="4EEC877E" w14:textId="77777777" w:rsidR="00C54BE9" w:rsidRPr="00C54BE9" w:rsidRDefault="00C54BE9" w:rsidP="00C54BE9">
            <w:pPr>
              <w:spacing w:after="0" w:line="240" w:lineRule="auto"/>
              <w:jc w:val="left"/>
            </w:pPr>
            <w:r w:rsidRPr="00C54BE9">
              <w:t>So.3</w:t>
            </w:r>
          </w:p>
        </w:tc>
        <w:tc>
          <w:tcPr>
            <w:tcW w:w="1440" w:type="dxa"/>
            <w:noWrap/>
            <w:hideMark/>
          </w:tcPr>
          <w:p w14:paraId="6316C1E4" w14:textId="77777777" w:rsidR="00C54BE9" w:rsidRPr="00C54BE9" w:rsidRDefault="00C54BE9" w:rsidP="00C54BE9">
            <w:pPr>
              <w:spacing w:after="0" w:line="240" w:lineRule="auto"/>
              <w:jc w:val="left"/>
            </w:pPr>
            <w:r w:rsidRPr="00C54BE9">
              <w:t>So.3</w:t>
            </w:r>
          </w:p>
        </w:tc>
        <w:tc>
          <w:tcPr>
            <w:tcW w:w="1400" w:type="dxa"/>
            <w:noWrap/>
            <w:hideMark/>
          </w:tcPr>
          <w:p w14:paraId="7B192EDA" w14:textId="77777777" w:rsidR="00C54BE9" w:rsidRPr="00C54BE9" w:rsidRDefault="00C54BE9" w:rsidP="00C54BE9">
            <w:pPr>
              <w:spacing w:after="0" w:line="240" w:lineRule="auto"/>
              <w:jc w:val="left"/>
            </w:pPr>
            <w:r w:rsidRPr="00C54BE9">
              <w:t>So.3</w:t>
            </w:r>
          </w:p>
        </w:tc>
      </w:tr>
      <w:tr w:rsidR="00C54BE9" w:rsidRPr="00C54BE9" w14:paraId="2CBBB5B2" w14:textId="77777777" w:rsidTr="00D210D0">
        <w:trPr>
          <w:trHeight w:val="300"/>
        </w:trPr>
        <w:tc>
          <w:tcPr>
            <w:tcW w:w="1885" w:type="dxa"/>
            <w:hideMark/>
          </w:tcPr>
          <w:p w14:paraId="5069080B" w14:textId="77777777" w:rsidR="00C54BE9" w:rsidRPr="00C54BE9" w:rsidRDefault="00C54BE9" w:rsidP="00C54BE9">
            <w:pPr>
              <w:spacing w:after="0" w:line="240" w:lineRule="auto"/>
              <w:jc w:val="left"/>
            </w:pPr>
            <w:r w:rsidRPr="00C54BE9">
              <w:t>Infrastructure Improvements</w:t>
            </w:r>
          </w:p>
        </w:tc>
        <w:tc>
          <w:tcPr>
            <w:tcW w:w="4950" w:type="dxa"/>
            <w:noWrap/>
            <w:hideMark/>
          </w:tcPr>
          <w:p w14:paraId="68665F5E" w14:textId="77777777" w:rsidR="00C54BE9" w:rsidRPr="00C54BE9" w:rsidRDefault="00C54BE9" w:rsidP="00C54BE9">
            <w:pPr>
              <w:spacing w:after="0" w:line="240" w:lineRule="auto"/>
              <w:jc w:val="left"/>
            </w:pPr>
            <w:r w:rsidRPr="00C54BE9">
              <w:t>Data Center Commissioned</w:t>
            </w:r>
          </w:p>
        </w:tc>
        <w:tc>
          <w:tcPr>
            <w:tcW w:w="1620" w:type="dxa"/>
            <w:noWrap/>
            <w:hideMark/>
          </w:tcPr>
          <w:p w14:paraId="3A657D07" w14:textId="77777777" w:rsidR="00C54BE9" w:rsidRPr="00C54BE9" w:rsidRDefault="00C54BE9" w:rsidP="00C54BE9">
            <w:pPr>
              <w:spacing w:after="0" w:line="240" w:lineRule="auto"/>
              <w:jc w:val="left"/>
            </w:pPr>
            <w:r w:rsidRPr="00C54BE9">
              <w:t> </w:t>
            </w:r>
          </w:p>
        </w:tc>
        <w:tc>
          <w:tcPr>
            <w:tcW w:w="1440" w:type="dxa"/>
            <w:noWrap/>
            <w:hideMark/>
          </w:tcPr>
          <w:p w14:paraId="627A5440" w14:textId="77777777" w:rsidR="00C54BE9" w:rsidRPr="00C54BE9" w:rsidRDefault="00C54BE9" w:rsidP="00C54BE9">
            <w:pPr>
              <w:spacing w:after="0" w:line="240" w:lineRule="auto"/>
              <w:jc w:val="left"/>
            </w:pPr>
            <w:r w:rsidRPr="00C54BE9">
              <w:t>P.13</w:t>
            </w:r>
          </w:p>
        </w:tc>
        <w:tc>
          <w:tcPr>
            <w:tcW w:w="1440" w:type="dxa"/>
            <w:noWrap/>
            <w:hideMark/>
          </w:tcPr>
          <w:p w14:paraId="09FF0BDF" w14:textId="77777777" w:rsidR="00C54BE9" w:rsidRPr="00C54BE9" w:rsidRDefault="00C54BE9" w:rsidP="00C54BE9">
            <w:pPr>
              <w:spacing w:after="0" w:line="240" w:lineRule="auto"/>
              <w:jc w:val="left"/>
            </w:pPr>
            <w:r w:rsidRPr="00C54BE9">
              <w:t> </w:t>
            </w:r>
          </w:p>
        </w:tc>
        <w:tc>
          <w:tcPr>
            <w:tcW w:w="1400" w:type="dxa"/>
            <w:noWrap/>
            <w:hideMark/>
          </w:tcPr>
          <w:p w14:paraId="18771DB7" w14:textId="77777777" w:rsidR="00C54BE9" w:rsidRPr="00C54BE9" w:rsidRDefault="00C54BE9" w:rsidP="00C54BE9">
            <w:pPr>
              <w:spacing w:after="0" w:line="240" w:lineRule="auto"/>
              <w:jc w:val="left"/>
            </w:pPr>
            <w:r w:rsidRPr="00C54BE9">
              <w:t> </w:t>
            </w:r>
          </w:p>
        </w:tc>
      </w:tr>
      <w:tr w:rsidR="00C54BE9" w:rsidRPr="00C54BE9" w14:paraId="7E61796D" w14:textId="77777777" w:rsidTr="004812EF">
        <w:trPr>
          <w:trHeight w:val="300"/>
        </w:trPr>
        <w:tc>
          <w:tcPr>
            <w:tcW w:w="1885" w:type="dxa"/>
            <w:shd w:val="clear" w:color="auto" w:fill="EEF3F8"/>
            <w:hideMark/>
          </w:tcPr>
          <w:p w14:paraId="38363AB1"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137667A7" w14:textId="77777777" w:rsidR="00C54BE9" w:rsidRPr="00C54BE9" w:rsidRDefault="00C54BE9" w:rsidP="00C54BE9">
            <w:pPr>
              <w:spacing w:after="0" w:line="240" w:lineRule="auto"/>
              <w:jc w:val="left"/>
            </w:pPr>
            <w:r w:rsidRPr="00C54BE9">
              <w:t>Budget: GBO Indirect Rates</w:t>
            </w:r>
          </w:p>
        </w:tc>
        <w:tc>
          <w:tcPr>
            <w:tcW w:w="1620" w:type="dxa"/>
            <w:shd w:val="clear" w:color="auto" w:fill="EEF3F8"/>
            <w:noWrap/>
            <w:hideMark/>
          </w:tcPr>
          <w:p w14:paraId="407332DB"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1E72D673"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3699B9EB" w14:textId="77777777" w:rsidR="00C54BE9" w:rsidRPr="00C54BE9" w:rsidRDefault="00C54BE9" w:rsidP="00C54BE9">
            <w:pPr>
              <w:spacing w:after="0" w:line="240" w:lineRule="auto"/>
              <w:jc w:val="left"/>
            </w:pPr>
            <w:r w:rsidRPr="00C54BE9">
              <w:t>B.1</w:t>
            </w:r>
          </w:p>
        </w:tc>
        <w:tc>
          <w:tcPr>
            <w:tcW w:w="1400" w:type="dxa"/>
            <w:shd w:val="clear" w:color="auto" w:fill="EEF3F8"/>
            <w:noWrap/>
            <w:hideMark/>
          </w:tcPr>
          <w:p w14:paraId="427E326E" w14:textId="77777777" w:rsidR="00C54BE9" w:rsidRPr="00C54BE9" w:rsidRDefault="00C54BE9" w:rsidP="00C54BE9">
            <w:pPr>
              <w:spacing w:after="0" w:line="240" w:lineRule="auto"/>
              <w:jc w:val="left"/>
            </w:pPr>
            <w:r w:rsidRPr="00C54BE9">
              <w:t> </w:t>
            </w:r>
          </w:p>
        </w:tc>
      </w:tr>
      <w:tr w:rsidR="00C54BE9" w:rsidRPr="00C54BE9" w14:paraId="6CB29C08" w14:textId="77777777" w:rsidTr="004812EF">
        <w:trPr>
          <w:trHeight w:val="300"/>
        </w:trPr>
        <w:tc>
          <w:tcPr>
            <w:tcW w:w="1885" w:type="dxa"/>
            <w:shd w:val="clear" w:color="auto" w:fill="EEF3F8"/>
            <w:hideMark/>
          </w:tcPr>
          <w:p w14:paraId="7C7C5822"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494E1533" w14:textId="77777777" w:rsidR="00C54BE9" w:rsidRPr="00C54BE9" w:rsidRDefault="00C54BE9" w:rsidP="00C54BE9">
            <w:pPr>
              <w:spacing w:after="0" w:line="240" w:lineRule="auto"/>
              <w:jc w:val="left"/>
            </w:pPr>
            <w:r w:rsidRPr="00C54BE9">
              <w:t>Budget: Annual Operating Budget</w:t>
            </w:r>
          </w:p>
        </w:tc>
        <w:tc>
          <w:tcPr>
            <w:tcW w:w="1620" w:type="dxa"/>
            <w:shd w:val="clear" w:color="auto" w:fill="EEF3F8"/>
            <w:noWrap/>
            <w:hideMark/>
          </w:tcPr>
          <w:p w14:paraId="53902150"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5B5AE775"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496E54D6" w14:textId="77777777" w:rsidR="00C54BE9" w:rsidRPr="00C54BE9" w:rsidRDefault="00C54BE9" w:rsidP="00C54BE9">
            <w:pPr>
              <w:spacing w:after="0" w:line="240" w:lineRule="auto"/>
              <w:jc w:val="left"/>
            </w:pPr>
            <w:r w:rsidRPr="00C54BE9">
              <w:t>B.2</w:t>
            </w:r>
          </w:p>
        </w:tc>
        <w:tc>
          <w:tcPr>
            <w:tcW w:w="1400" w:type="dxa"/>
            <w:shd w:val="clear" w:color="auto" w:fill="EEF3F8"/>
            <w:noWrap/>
            <w:hideMark/>
          </w:tcPr>
          <w:p w14:paraId="28B96DB6" w14:textId="77777777" w:rsidR="00C54BE9" w:rsidRPr="00C54BE9" w:rsidRDefault="00C54BE9" w:rsidP="00C54BE9">
            <w:pPr>
              <w:spacing w:after="0" w:line="240" w:lineRule="auto"/>
              <w:jc w:val="left"/>
            </w:pPr>
            <w:r w:rsidRPr="00C54BE9">
              <w:t> </w:t>
            </w:r>
          </w:p>
        </w:tc>
      </w:tr>
      <w:tr w:rsidR="00C54BE9" w:rsidRPr="00C54BE9" w14:paraId="758A3842" w14:textId="77777777" w:rsidTr="004812EF">
        <w:trPr>
          <w:trHeight w:val="300"/>
        </w:trPr>
        <w:tc>
          <w:tcPr>
            <w:tcW w:w="1885" w:type="dxa"/>
            <w:shd w:val="clear" w:color="auto" w:fill="EEF3F8"/>
            <w:hideMark/>
          </w:tcPr>
          <w:p w14:paraId="1B18D299"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2253FC71" w14:textId="77777777" w:rsidR="00C54BE9" w:rsidRPr="00C54BE9" w:rsidRDefault="00C54BE9" w:rsidP="00C54BE9">
            <w:pPr>
              <w:spacing w:after="0" w:line="240" w:lineRule="auto"/>
              <w:jc w:val="left"/>
            </w:pPr>
            <w:r w:rsidRPr="00C54BE9">
              <w:t>Compensation: Total Rewards Review</w:t>
            </w:r>
          </w:p>
        </w:tc>
        <w:tc>
          <w:tcPr>
            <w:tcW w:w="1620" w:type="dxa"/>
            <w:shd w:val="clear" w:color="auto" w:fill="EEF3F8"/>
            <w:noWrap/>
            <w:hideMark/>
          </w:tcPr>
          <w:p w14:paraId="0B08521F"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59432549"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FFA39EE" w14:textId="77777777" w:rsidR="00C54BE9" w:rsidRPr="00C54BE9" w:rsidRDefault="00C54BE9" w:rsidP="00C54BE9">
            <w:pPr>
              <w:spacing w:after="0" w:line="240" w:lineRule="auto"/>
              <w:jc w:val="left"/>
            </w:pPr>
            <w:r w:rsidRPr="00C54BE9">
              <w:t>HR.3</w:t>
            </w:r>
          </w:p>
        </w:tc>
        <w:tc>
          <w:tcPr>
            <w:tcW w:w="1400" w:type="dxa"/>
            <w:shd w:val="clear" w:color="auto" w:fill="EEF3F8"/>
            <w:noWrap/>
            <w:hideMark/>
          </w:tcPr>
          <w:p w14:paraId="3D8D6C8D" w14:textId="77777777" w:rsidR="00C54BE9" w:rsidRPr="00C54BE9" w:rsidRDefault="00C54BE9" w:rsidP="00C54BE9">
            <w:pPr>
              <w:spacing w:after="0" w:line="240" w:lineRule="auto"/>
              <w:jc w:val="left"/>
            </w:pPr>
            <w:r w:rsidRPr="00C54BE9">
              <w:t> </w:t>
            </w:r>
          </w:p>
        </w:tc>
      </w:tr>
      <w:tr w:rsidR="00C54BE9" w:rsidRPr="00C54BE9" w14:paraId="73EB0098" w14:textId="77777777" w:rsidTr="004812EF">
        <w:trPr>
          <w:trHeight w:val="300"/>
        </w:trPr>
        <w:tc>
          <w:tcPr>
            <w:tcW w:w="1885" w:type="dxa"/>
            <w:shd w:val="clear" w:color="auto" w:fill="EEF3F8"/>
            <w:hideMark/>
          </w:tcPr>
          <w:p w14:paraId="529D306A"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735736D6" w14:textId="77777777" w:rsidR="00C54BE9" w:rsidRPr="00C54BE9" w:rsidRDefault="00C54BE9" w:rsidP="00C54BE9">
            <w:pPr>
              <w:spacing w:after="0" w:line="240" w:lineRule="auto"/>
              <w:jc w:val="left"/>
            </w:pPr>
            <w:r w:rsidRPr="00C54BE9">
              <w:t>Client Relationship Management implemented</w:t>
            </w:r>
          </w:p>
        </w:tc>
        <w:tc>
          <w:tcPr>
            <w:tcW w:w="1620" w:type="dxa"/>
            <w:shd w:val="clear" w:color="auto" w:fill="EEF3F8"/>
            <w:noWrap/>
            <w:hideMark/>
          </w:tcPr>
          <w:p w14:paraId="73DF91E5"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62ECFC98" w14:textId="77777777" w:rsidR="00C54BE9" w:rsidRPr="00C54BE9" w:rsidRDefault="00C54BE9" w:rsidP="00C54BE9">
            <w:pPr>
              <w:spacing w:after="0" w:line="240" w:lineRule="auto"/>
              <w:jc w:val="left"/>
            </w:pPr>
            <w:r w:rsidRPr="00C54BE9">
              <w:t>HR.4</w:t>
            </w:r>
          </w:p>
        </w:tc>
        <w:tc>
          <w:tcPr>
            <w:tcW w:w="1440" w:type="dxa"/>
            <w:shd w:val="clear" w:color="auto" w:fill="EEF3F8"/>
            <w:noWrap/>
            <w:hideMark/>
          </w:tcPr>
          <w:p w14:paraId="38A33D8B"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697CCDAB" w14:textId="77777777" w:rsidR="00C54BE9" w:rsidRPr="00C54BE9" w:rsidRDefault="00C54BE9" w:rsidP="00C54BE9">
            <w:pPr>
              <w:spacing w:after="0" w:line="240" w:lineRule="auto"/>
              <w:jc w:val="left"/>
            </w:pPr>
            <w:r w:rsidRPr="00C54BE9">
              <w:t> </w:t>
            </w:r>
          </w:p>
        </w:tc>
      </w:tr>
      <w:tr w:rsidR="00C54BE9" w:rsidRPr="00C54BE9" w14:paraId="1B54F598" w14:textId="77777777" w:rsidTr="004812EF">
        <w:trPr>
          <w:trHeight w:val="300"/>
        </w:trPr>
        <w:tc>
          <w:tcPr>
            <w:tcW w:w="1885" w:type="dxa"/>
            <w:shd w:val="clear" w:color="auto" w:fill="EEF3F8"/>
            <w:hideMark/>
          </w:tcPr>
          <w:p w14:paraId="1982C181"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4846361F" w14:textId="1A831639" w:rsidR="00C54BE9" w:rsidRPr="00C54BE9" w:rsidRDefault="00C54BE9" w:rsidP="00C54BE9">
            <w:pPr>
              <w:spacing w:after="0" w:line="240" w:lineRule="auto"/>
              <w:jc w:val="left"/>
            </w:pPr>
            <w:r w:rsidRPr="00C54BE9">
              <w:t>Conference: AAS Materials &amp; Support Winter</w:t>
            </w:r>
          </w:p>
        </w:tc>
        <w:tc>
          <w:tcPr>
            <w:tcW w:w="1620" w:type="dxa"/>
            <w:shd w:val="clear" w:color="auto" w:fill="EEF3F8"/>
            <w:noWrap/>
            <w:hideMark/>
          </w:tcPr>
          <w:p w14:paraId="48972F4F"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6AFEC0B0" w14:textId="77777777" w:rsidR="00C54BE9" w:rsidRPr="00C54BE9" w:rsidRDefault="00C54BE9" w:rsidP="00C54BE9">
            <w:pPr>
              <w:spacing w:after="0" w:line="240" w:lineRule="auto"/>
              <w:jc w:val="left"/>
            </w:pPr>
            <w:r w:rsidRPr="00C54BE9">
              <w:t>PR.1</w:t>
            </w:r>
          </w:p>
        </w:tc>
        <w:tc>
          <w:tcPr>
            <w:tcW w:w="1440" w:type="dxa"/>
            <w:shd w:val="clear" w:color="auto" w:fill="EEF3F8"/>
            <w:noWrap/>
            <w:hideMark/>
          </w:tcPr>
          <w:p w14:paraId="4A331BB8"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25BB3E62" w14:textId="77777777" w:rsidR="00C54BE9" w:rsidRPr="00C54BE9" w:rsidRDefault="00C54BE9" w:rsidP="00C54BE9">
            <w:pPr>
              <w:spacing w:after="0" w:line="240" w:lineRule="auto"/>
              <w:jc w:val="left"/>
            </w:pPr>
            <w:r w:rsidRPr="00C54BE9">
              <w:t> </w:t>
            </w:r>
          </w:p>
        </w:tc>
      </w:tr>
      <w:tr w:rsidR="00C54BE9" w:rsidRPr="00C54BE9" w14:paraId="01112614" w14:textId="77777777" w:rsidTr="004812EF">
        <w:trPr>
          <w:trHeight w:val="300"/>
        </w:trPr>
        <w:tc>
          <w:tcPr>
            <w:tcW w:w="1885" w:type="dxa"/>
            <w:shd w:val="clear" w:color="auto" w:fill="EEF3F8"/>
            <w:hideMark/>
          </w:tcPr>
          <w:p w14:paraId="255E8058"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356E6552" w14:textId="31F85968" w:rsidR="00C54BE9" w:rsidRPr="00C54BE9" w:rsidRDefault="00C54BE9" w:rsidP="00C54BE9">
            <w:pPr>
              <w:spacing w:after="0" w:line="240" w:lineRule="auto"/>
              <w:jc w:val="left"/>
            </w:pPr>
            <w:r w:rsidRPr="00C54BE9">
              <w:t>Conference: AAS Materials &amp; Support Summer</w:t>
            </w:r>
          </w:p>
        </w:tc>
        <w:tc>
          <w:tcPr>
            <w:tcW w:w="1620" w:type="dxa"/>
            <w:shd w:val="clear" w:color="auto" w:fill="EEF3F8"/>
            <w:noWrap/>
            <w:hideMark/>
          </w:tcPr>
          <w:p w14:paraId="6731BADA"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9DA22A5"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407011E5" w14:textId="77777777" w:rsidR="00C54BE9" w:rsidRPr="00C54BE9" w:rsidRDefault="00C54BE9" w:rsidP="00C54BE9">
            <w:pPr>
              <w:spacing w:after="0" w:line="240" w:lineRule="auto"/>
              <w:jc w:val="left"/>
            </w:pPr>
            <w:r w:rsidRPr="00C54BE9">
              <w:t>PR.2</w:t>
            </w:r>
          </w:p>
        </w:tc>
        <w:tc>
          <w:tcPr>
            <w:tcW w:w="1400" w:type="dxa"/>
            <w:shd w:val="clear" w:color="auto" w:fill="EEF3F8"/>
            <w:noWrap/>
            <w:hideMark/>
          </w:tcPr>
          <w:p w14:paraId="266B6512" w14:textId="77777777" w:rsidR="00C54BE9" w:rsidRPr="00C54BE9" w:rsidRDefault="00C54BE9" w:rsidP="00C54BE9">
            <w:pPr>
              <w:spacing w:after="0" w:line="240" w:lineRule="auto"/>
              <w:jc w:val="left"/>
            </w:pPr>
            <w:r w:rsidRPr="00C54BE9">
              <w:t> </w:t>
            </w:r>
          </w:p>
        </w:tc>
      </w:tr>
      <w:tr w:rsidR="00C54BE9" w:rsidRPr="00C54BE9" w14:paraId="7C546A5C" w14:textId="77777777" w:rsidTr="004812EF">
        <w:trPr>
          <w:trHeight w:val="300"/>
        </w:trPr>
        <w:tc>
          <w:tcPr>
            <w:tcW w:w="1885" w:type="dxa"/>
            <w:shd w:val="clear" w:color="auto" w:fill="EEF3F8"/>
            <w:hideMark/>
          </w:tcPr>
          <w:p w14:paraId="09EE8C22"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1F82B70B" w14:textId="77777777" w:rsidR="00C54BE9" w:rsidRPr="00C54BE9" w:rsidRDefault="00C54BE9" w:rsidP="00C54BE9">
            <w:pPr>
              <w:spacing w:after="0" w:line="240" w:lineRule="auto"/>
              <w:jc w:val="left"/>
            </w:pPr>
            <w:r w:rsidRPr="00C54BE9">
              <w:t>GBT: Painting Resource and Schedule Plan</w:t>
            </w:r>
          </w:p>
        </w:tc>
        <w:tc>
          <w:tcPr>
            <w:tcW w:w="1620" w:type="dxa"/>
            <w:shd w:val="clear" w:color="auto" w:fill="EEF3F8"/>
            <w:noWrap/>
            <w:hideMark/>
          </w:tcPr>
          <w:p w14:paraId="74B4D2EF" w14:textId="77777777" w:rsidR="00C54BE9" w:rsidRPr="00C54BE9" w:rsidRDefault="00C54BE9" w:rsidP="00C54BE9">
            <w:pPr>
              <w:spacing w:after="0" w:line="240" w:lineRule="auto"/>
              <w:jc w:val="left"/>
            </w:pPr>
            <w:r w:rsidRPr="00C54BE9">
              <w:t>T.1</w:t>
            </w:r>
          </w:p>
        </w:tc>
        <w:tc>
          <w:tcPr>
            <w:tcW w:w="1440" w:type="dxa"/>
            <w:shd w:val="clear" w:color="auto" w:fill="EEF3F8"/>
            <w:noWrap/>
            <w:hideMark/>
          </w:tcPr>
          <w:p w14:paraId="580D0A47"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07503A29"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2BD3EDBE" w14:textId="77777777" w:rsidR="00C54BE9" w:rsidRPr="00C54BE9" w:rsidRDefault="00C54BE9" w:rsidP="00C54BE9">
            <w:pPr>
              <w:spacing w:after="0" w:line="240" w:lineRule="auto"/>
              <w:jc w:val="left"/>
            </w:pPr>
            <w:r w:rsidRPr="00C54BE9">
              <w:t> </w:t>
            </w:r>
          </w:p>
        </w:tc>
      </w:tr>
      <w:tr w:rsidR="00C54BE9" w:rsidRPr="00C54BE9" w14:paraId="27D1DD4B" w14:textId="77777777" w:rsidTr="004812EF">
        <w:trPr>
          <w:trHeight w:val="300"/>
        </w:trPr>
        <w:tc>
          <w:tcPr>
            <w:tcW w:w="1885" w:type="dxa"/>
            <w:shd w:val="clear" w:color="auto" w:fill="EEF3F8"/>
            <w:hideMark/>
          </w:tcPr>
          <w:p w14:paraId="4D81518B"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752220BA" w14:textId="77777777" w:rsidR="00C54BE9" w:rsidRPr="00C54BE9" w:rsidRDefault="00C54BE9" w:rsidP="00C54BE9">
            <w:pPr>
              <w:spacing w:after="0" w:line="240" w:lineRule="auto"/>
              <w:jc w:val="left"/>
            </w:pPr>
            <w:r w:rsidRPr="00C54BE9">
              <w:t>GBT: Painters Hired</w:t>
            </w:r>
          </w:p>
        </w:tc>
        <w:tc>
          <w:tcPr>
            <w:tcW w:w="1620" w:type="dxa"/>
            <w:shd w:val="clear" w:color="auto" w:fill="EEF3F8"/>
            <w:noWrap/>
            <w:hideMark/>
          </w:tcPr>
          <w:p w14:paraId="394E7A9A"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12C249AE" w14:textId="77777777" w:rsidR="00C54BE9" w:rsidRPr="00C54BE9" w:rsidRDefault="00C54BE9" w:rsidP="00C54BE9">
            <w:pPr>
              <w:spacing w:after="0" w:line="240" w:lineRule="auto"/>
              <w:jc w:val="left"/>
            </w:pPr>
            <w:r w:rsidRPr="00C54BE9">
              <w:t>T.2</w:t>
            </w:r>
          </w:p>
        </w:tc>
        <w:tc>
          <w:tcPr>
            <w:tcW w:w="1440" w:type="dxa"/>
            <w:shd w:val="clear" w:color="auto" w:fill="EEF3F8"/>
            <w:noWrap/>
            <w:hideMark/>
          </w:tcPr>
          <w:p w14:paraId="4291429F"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59B5A042" w14:textId="77777777" w:rsidR="00C54BE9" w:rsidRPr="00C54BE9" w:rsidRDefault="00C54BE9" w:rsidP="00C54BE9">
            <w:pPr>
              <w:spacing w:after="0" w:line="240" w:lineRule="auto"/>
              <w:jc w:val="left"/>
            </w:pPr>
            <w:r w:rsidRPr="00C54BE9">
              <w:t> </w:t>
            </w:r>
          </w:p>
        </w:tc>
      </w:tr>
      <w:tr w:rsidR="00C54BE9" w:rsidRPr="00C54BE9" w14:paraId="35AD2417" w14:textId="77777777" w:rsidTr="004812EF">
        <w:trPr>
          <w:trHeight w:val="300"/>
        </w:trPr>
        <w:tc>
          <w:tcPr>
            <w:tcW w:w="1885" w:type="dxa"/>
            <w:shd w:val="clear" w:color="auto" w:fill="EEF3F8"/>
            <w:hideMark/>
          </w:tcPr>
          <w:p w14:paraId="39234D81"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1A611DBD" w14:textId="77777777" w:rsidR="00C54BE9" w:rsidRPr="00C54BE9" w:rsidRDefault="00C54BE9" w:rsidP="00C54BE9">
            <w:pPr>
              <w:spacing w:after="0" w:line="240" w:lineRule="auto"/>
              <w:jc w:val="left"/>
            </w:pPr>
            <w:r w:rsidRPr="00C54BE9">
              <w:t xml:space="preserve">GBT: Painting Completed </w:t>
            </w:r>
          </w:p>
        </w:tc>
        <w:tc>
          <w:tcPr>
            <w:tcW w:w="1620" w:type="dxa"/>
            <w:shd w:val="clear" w:color="auto" w:fill="EEF3F8"/>
            <w:noWrap/>
            <w:hideMark/>
          </w:tcPr>
          <w:p w14:paraId="1ABEA744"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1F2399BF"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33CDF726"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7F8F4092" w14:textId="77777777" w:rsidR="00C54BE9" w:rsidRPr="00C54BE9" w:rsidRDefault="00C54BE9" w:rsidP="00C54BE9">
            <w:pPr>
              <w:spacing w:after="0" w:line="240" w:lineRule="auto"/>
              <w:jc w:val="left"/>
            </w:pPr>
            <w:r w:rsidRPr="00C54BE9">
              <w:t>T.3</w:t>
            </w:r>
          </w:p>
        </w:tc>
      </w:tr>
      <w:tr w:rsidR="00C54BE9" w:rsidRPr="00C54BE9" w14:paraId="5ACE74B9" w14:textId="77777777" w:rsidTr="004812EF">
        <w:trPr>
          <w:trHeight w:val="300"/>
        </w:trPr>
        <w:tc>
          <w:tcPr>
            <w:tcW w:w="1885" w:type="dxa"/>
            <w:shd w:val="clear" w:color="auto" w:fill="EEF3F8"/>
            <w:hideMark/>
          </w:tcPr>
          <w:p w14:paraId="4E4E545B"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182EA7FA" w14:textId="77777777" w:rsidR="00940436" w:rsidRDefault="00C54BE9" w:rsidP="00C54BE9">
            <w:pPr>
              <w:spacing w:after="0" w:line="240" w:lineRule="auto"/>
              <w:jc w:val="left"/>
            </w:pPr>
            <w:r w:rsidRPr="00C54BE9">
              <w:t>GBT: Complete FY</w:t>
            </w:r>
            <w:r w:rsidR="00940436">
              <w:t>20</w:t>
            </w:r>
            <w:r w:rsidRPr="00C54BE9">
              <w:t xml:space="preserve">21 track work </w:t>
            </w:r>
          </w:p>
          <w:p w14:paraId="2E070445" w14:textId="5D36BE48" w:rsidR="00C54BE9" w:rsidRPr="00C54BE9" w:rsidRDefault="00C54BE9" w:rsidP="00C54BE9">
            <w:pPr>
              <w:spacing w:after="0" w:line="240" w:lineRule="auto"/>
              <w:jc w:val="left"/>
            </w:pPr>
            <w:r w:rsidRPr="00C54BE9">
              <w:t>(F</w:t>
            </w:r>
            <w:r w:rsidR="00940436">
              <w:t>Y20</w:t>
            </w:r>
            <w:r w:rsidRPr="00C54BE9">
              <w:t>21 carry forward)</w:t>
            </w:r>
          </w:p>
        </w:tc>
        <w:tc>
          <w:tcPr>
            <w:tcW w:w="1620" w:type="dxa"/>
            <w:shd w:val="clear" w:color="auto" w:fill="EEF3F8"/>
            <w:noWrap/>
            <w:hideMark/>
          </w:tcPr>
          <w:p w14:paraId="5E3BA368" w14:textId="77777777" w:rsidR="00C54BE9" w:rsidRPr="00C54BE9" w:rsidRDefault="00C54BE9" w:rsidP="00C54BE9">
            <w:pPr>
              <w:spacing w:after="0" w:line="240" w:lineRule="auto"/>
              <w:jc w:val="left"/>
            </w:pPr>
            <w:r w:rsidRPr="00C54BE9">
              <w:t>T.4</w:t>
            </w:r>
          </w:p>
        </w:tc>
        <w:tc>
          <w:tcPr>
            <w:tcW w:w="1440" w:type="dxa"/>
            <w:shd w:val="clear" w:color="auto" w:fill="EEF3F8"/>
            <w:noWrap/>
            <w:hideMark/>
          </w:tcPr>
          <w:p w14:paraId="30F8AC8A"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4F000937"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4F6E7013" w14:textId="77777777" w:rsidR="00C54BE9" w:rsidRPr="00C54BE9" w:rsidRDefault="00C54BE9" w:rsidP="00C54BE9">
            <w:pPr>
              <w:spacing w:after="0" w:line="240" w:lineRule="auto"/>
              <w:jc w:val="left"/>
            </w:pPr>
            <w:r w:rsidRPr="00C54BE9">
              <w:t> </w:t>
            </w:r>
          </w:p>
        </w:tc>
      </w:tr>
      <w:tr w:rsidR="00C54BE9" w:rsidRPr="00C54BE9" w14:paraId="2909068A" w14:textId="77777777" w:rsidTr="004812EF">
        <w:trPr>
          <w:trHeight w:val="300"/>
        </w:trPr>
        <w:tc>
          <w:tcPr>
            <w:tcW w:w="1885" w:type="dxa"/>
            <w:shd w:val="clear" w:color="auto" w:fill="EEF3F8"/>
            <w:hideMark/>
          </w:tcPr>
          <w:p w14:paraId="3D60C5A8"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448B9FD0" w14:textId="77777777" w:rsidR="00C54BE9" w:rsidRPr="00C54BE9" w:rsidRDefault="00C54BE9" w:rsidP="00C54BE9">
            <w:pPr>
              <w:spacing w:after="0" w:line="240" w:lineRule="auto"/>
              <w:jc w:val="left"/>
            </w:pPr>
            <w:r w:rsidRPr="00C54BE9">
              <w:t>GBT: GBT Structural inspections report</w:t>
            </w:r>
          </w:p>
        </w:tc>
        <w:tc>
          <w:tcPr>
            <w:tcW w:w="1620" w:type="dxa"/>
            <w:shd w:val="clear" w:color="auto" w:fill="EEF3F8"/>
            <w:noWrap/>
            <w:hideMark/>
          </w:tcPr>
          <w:p w14:paraId="3B7EC9FA"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0A174661" w14:textId="77777777" w:rsidR="00C54BE9" w:rsidRPr="00C54BE9" w:rsidRDefault="00C54BE9" w:rsidP="00C54BE9">
            <w:pPr>
              <w:spacing w:after="0" w:line="240" w:lineRule="auto"/>
              <w:jc w:val="left"/>
            </w:pPr>
            <w:r w:rsidRPr="00C54BE9">
              <w:t>T.5</w:t>
            </w:r>
          </w:p>
        </w:tc>
        <w:tc>
          <w:tcPr>
            <w:tcW w:w="1440" w:type="dxa"/>
            <w:shd w:val="clear" w:color="auto" w:fill="EEF3F8"/>
            <w:noWrap/>
            <w:hideMark/>
          </w:tcPr>
          <w:p w14:paraId="39F3A073"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525F31DF" w14:textId="77777777" w:rsidR="00C54BE9" w:rsidRPr="00C54BE9" w:rsidRDefault="00C54BE9" w:rsidP="00C54BE9">
            <w:pPr>
              <w:spacing w:after="0" w:line="240" w:lineRule="auto"/>
              <w:jc w:val="left"/>
            </w:pPr>
            <w:r w:rsidRPr="00C54BE9">
              <w:t> </w:t>
            </w:r>
          </w:p>
        </w:tc>
      </w:tr>
      <w:tr w:rsidR="00C54BE9" w:rsidRPr="00C54BE9" w14:paraId="14F4CAC6" w14:textId="77777777" w:rsidTr="004812EF">
        <w:trPr>
          <w:trHeight w:val="300"/>
        </w:trPr>
        <w:tc>
          <w:tcPr>
            <w:tcW w:w="1885" w:type="dxa"/>
            <w:shd w:val="clear" w:color="auto" w:fill="EEF3F8"/>
            <w:hideMark/>
          </w:tcPr>
          <w:p w14:paraId="5A4C9D65"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483F0D8C" w14:textId="2EEA7210" w:rsidR="00C54BE9" w:rsidRPr="00C54BE9" w:rsidRDefault="00C54BE9" w:rsidP="00C54BE9">
            <w:pPr>
              <w:spacing w:after="0" w:line="240" w:lineRule="auto"/>
              <w:jc w:val="left"/>
            </w:pPr>
            <w:r w:rsidRPr="00C54BE9">
              <w:t>GBT: GBT Procure Track Plates for FY</w:t>
            </w:r>
            <w:r w:rsidR="00940436">
              <w:t>20</w:t>
            </w:r>
            <w:r w:rsidRPr="00C54BE9">
              <w:t>22 installation</w:t>
            </w:r>
          </w:p>
        </w:tc>
        <w:tc>
          <w:tcPr>
            <w:tcW w:w="1620" w:type="dxa"/>
            <w:shd w:val="clear" w:color="auto" w:fill="EEF3F8"/>
            <w:noWrap/>
            <w:hideMark/>
          </w:tcPr>
          <w:p w14:paraId="35F7963E" w14:textId="77777777" w:rsidR="00C54BE9" w:rsidRPr="00C54BE9" w:rsidRDefault="00C54BE9" w:rsidP="00C54BE9">
            <w:pPr>
              <w:spacing w:after="0" w:line="240" w:lineRule="auto"/>
              <w:jc w:val="left"/>
            </w:pPr>
            <w:r w:rsidRPr="00C54BE9">
              <w:t>T.6</w:t>
            </w:r>
          </w:p>
        </w:tc>
        <w:tc>
          <w:tcPr>
            <w:tcW w:w="1440" w:type="dxa"/>
            <w:shd w:val="clear" w:color="auto" w:fill="EEF3F8"/>
            <w:noWrap/>
            <w:hideMark/>
          </w:tcPr>
          <w:p w14:paraId="764B8EF4"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4BB81CF4"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713B8F49" w14:textId="77777777" w:rsidR="00C54BE9" w:rsidRPr="00C54BE9" w:rsidRDefault="00C54BE9" w:rsidP="00C54BE9">
            <w:pPr>
              <w:spacing w:after="0" w:line="240" w:lineRule="auto"/>
              <w:jc w:val="left"/>
            </w:pPr>
            <w:r w:rsidRPr="00C54BE9">
              <w:t> </w:t>
            </w:r>
          </w:p>
        </w:tc>
      </w:tr>
      <w:tr w:rsidR="00C54BE9" w:rsidRPr="00C54BE9" w14:paraId="764A4FB5" w14:textId="77777777" w:rsidTr="004812EF">
        <w:trPr>
          <w:trHeight w:val="300"/>
        </w:trPr>
        <w:tc>
          <w:tcPr>
            <w:tcW w:w="1885" w:type="dxa"/>
            <w:shd w:val="clear" w:color="auto" w:fill="EEF3F8"/>
            <w:hideMark/>
          </w:tcPr>
          <w:p w14:paraId="0E13CD19"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28AFF048" w14:textId="3BACB740" w:rsidR="00C54BE9" w:rsidRPr="00C54BE9" w:rsidRDefault="00C54BE9" w:rsidP="00C54BE9">
            <w:pPr>
              <w:spacing w:after="0" w:line="240" w:lineRule="auto"/>
              <w:jc w:val="left"/>
            </w:pPr>
            <w:r w:rsidRPr="00C54BE9">
              <w:t>GBT: GBT Track Materials Procurement for FY</w:t>
            </w:r>
            <w:r w:rsidR="00940436">
              <w:t>20</w:t>
            </w:r>
            <w:r w:rsidRPr="00C54BE9">
              <w:t>22 installation</w:t>
            </w:r>
          </w:p>
        </w:tc>
        <w:tc>
          <w:tcPr>
            <w:tcW w:w="1620" w:type="dxa"/>
            <w:shd w:val="clear" w:color="auto" w:fill="EEF3F8"/>
            <w:noWrap/>
            <w:hideMark/>
          </w:tcPr>
          <w:p w14:paraId="00A1B67A"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56E22243" w14:textId="77777777" w:rsidR="00C54BE9" w:rsidRPr="00C54BE9" w:rsidRDefault="00C54BE9" w:rsidP="00C54BE9">
            <w:pPr>
              <w:spacing w:after="0" w:line="240" w:lineRule="auto"/>
              <w:jc w:val="left"/>
            </w:pPr>
            <w:r w:rsidRPr="00C54BE9">
              <w:t>T.7</w:t>
            </w:r>
          </w:p>
        </w:tc>
        <w:tc>
          <w:tcPr>
            <w:tcW w:w="1440" w:type="dxa"/>
            <w:shd w:val="clear" w:color="auto" w:fill="EEF3F8"/>
            <w:noWrap/>
            <w:hideMark/>
          </w:tcPr>
          <w:p w14:paraId="3C494A2B"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62AF3327" w14:textId="77777777" w:rsidR="00C54BE9" w:rsidRPr="00C54BE9" w:rsidRDefault="00C54BE9" w:rsidP="00C54BE9">
            <w:pPr>
              <w:spacing w:after="0" w:line="240" w:lineRule="auto"/>
              <w:jc w:val="left"/>
            </w:pPr>
            <w:r w:rsidRPr="00C54BE9">
              <w:t> </w:t>
            </w:r>
          </w:p>
        </w:tc>
      </w:tr>
      <w:tr w:rsidR="00C54BE9" w:rsidRPr="00C54BE9" w14:paraId="6892672D" w14:textId="77777777" w:rsidTr="004812EF">
        <w:trPr>
          <w:trHeight w:val="300"/>
        </w:trPr>
        <w:tc>
          <w:tcPr>
            <w:tcW w:w="1885" w:type="dxa"/>
            <w:shd w:val="clear" w:color="auto" w:fill="EEF3F8"/>
            <w:hideMark/>
          </w:tcPr>
          <w:p w14:paraId="1BE0CC37"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1A071E65" w14:textId="77777777" w:rsidR="00C54BE9" w:rsidRPr="00C54BE9" w:rsidRDefault="00C54BE9" w:rsidP="00C54BE9">
            <w:pPr>
              <w:spacing w:after="0" w:line="240" w:lineRule="auto"/>
              <w:jc w:val="left"/>
            </w:pPr>
            <w:r w:rsidRPr="00C54BE9">
              <w:t>GBT: GBT FY2022 Track work completed</w:t>
            </w:r>
          </w:p>
        </w:tc>
        <w:tc>
          <w:tcPr>
            <w:tcW w:w="1620" w:type="dxa"/>
            <w:shd w:val="clear" w:color="auto" w:fill="EEF3F8"/>
            <w:noWrap/>
            <w:hideMark/>
          </w:tcPr>
          <w:p w14:paraId="1E25B5F3"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27C1FA07"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57A1B4B6"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719E7F9C" w14:textId="77777777" w:rsidR="00C54BE9" w:rsidRPr="00C54BE9" w:rsidRDefault="00C54BE9" w:rsidP="00C54BE9">
            <w:pPr>
              <w:spacing w:after="0" w:line="240" w:lineRule="auto"/>
              <w:jc w:val="left"/>
            </w:pPr>
            <w:r w:rsidRPr="00C54BE9">
              <w:t>T.8</w:t>
            </w:r>
          </w:p>
        </w:tc>
      </w:tr>
      <w:tr w:rsidR="00C54BE9" w:rsidRPr="00C54BE9" w14:paraId="2836492E" w14:textId="77777777" w:rsidTr="004812EF">
        <w:trPr>
          <w:trHeight w:val="300"/>
        </w:trPr>
        <w:tc>
          <w:tcPr>
            <w:tcW w:w="1885" w:type="dxa"/>
            <w:shd w:val="clear" w:color="auto" w:fill="EEF3F8"/>
            <w:hideMark/>
          </w:tcPr>
          <w:p w14:paraId="538D0B94"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65020B9F" w14:textId="77777777" w:rsidR="00C54BE9" w:rsidRPr="00C54BE9" w:rsidRDefault="00C54BE9" w:rsidP="00C54BE9">
            <w:pPr>
              <w:spacing w:after="0" w:line="240" w:lineRule="auto"/>
              <w:jc w:val="left"/>
            </w:pPr>
            <w:r w:rsidRPr="00C54BE9">
              <w:t>Inspect concrete for grout pocket replacements</w:t>
            </w:r>
          </w:p>
        </w:tc>
        <w:tc>
          <w:tcPr>
            <w:tcW w:w="1620" w:type="dxa"/>
            <w:shd w:val="clear" w:color="auto" w:fill="EEF3F8"/>
            <w:noWrap/>
            <w:hideMark/>
          </w:tcPr>
          <w:p w14:paraId="1A84D151"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45EE23F"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71A7236" w14:textId="77777777" w:rsidR="00C54BE9" w:rsidRPr="00C54BE9" w:rsidRDefault="00C54BE9" w:rsidP="00C54BE9">
            <w:pPr>
              <w:spacing w:after="0" w:line="240" w:lineRule="auto"/>
              <w:jc w:val="left"/>
            </w:pPr>
            <w:r w:rsidRPr="00C54BE9">
              <w:t>T.9</w:t>
            </w:r>
          </w:p>
        </w:tc>
        <w:tc>
          <w:tcPr>
            <w:tcW w:w="1400" w:type="dxa"/>
            <w:shd w:val="clear" w:color="auto" w:fill="EEF3F8"/>
            <w:noWrap/>
            <w:hideMark/>
          </w:tcPr>
          <w:p w14:paraId="4C9C6E0A" w14:textId="77777777" w:rsidR="00C54BE9" w:rsidRPr="00C54BE9" w:rsidRDefault="00C54BE9" w:rsidP="00C54BE9">
            <w:pPr>
              <w:spacing w:after="0" w:line="240" w:lineRule="auto"/>
              <w:jc w:val="left"/>
            </w:pPr>
            <w:r w:rsidRPr="00C54BE9">
              <w:t> </w:t>
            </w:r>
          </w:p>
        </w:tc>
      </w:tr>
      <w:tr w:rsidR="00C54BE9" w:rsidRPr="00C54BE9" w14:paraId="65464BDD" w14:textId="77777777" w:rsidTr="004812EF">
        <w:trPr>
          <w:trHeight w:val="300"/>
        </w:trPr>
        <w:tc>
          <w:tcPr>
            <w:tcW w:w="1885" w:type="dxa"/>
            <w:shd w:val="clear" w:color="auto" w:fill="EEF3F8"/>
            <w:hideMark/>
          </w:tcPr>
          <w:p w14:paraId="45A2317E"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7A51890F" w14:textId="77777777" w:rsidR="00C54BE9" w:rsidRPr="00C54BE9" w:rsidRDefault="00C54BE9" w:rsidP="00C54BE9">
            <w:pPr>
              <w:spacing w:after="0" w:line="240" w:lineRule="auto"/>
              <w:jc w:val="left"/>
            </w:pPr>
            <w:r w:rsidRPr="00C54BE9">
              <w:t xml:space="preserve">Grout pocket repairs </w:t>
            </w:r>
          </w:p>
        </w:tc>
        <w:tc>
          <w:tcPr>
            <w:tcW w:w="1620" w:type="dxa"/>
            <w:shd w:val="clear" w:color="auto" w:fill="EEF3F8"/>
            <w:noWrap/>
            <w:hideMark/>
          </w:tcPr>
          <w:p w14:paraId="2503FFEF"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257E347D"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5B06FE1"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0CC10E17" w14:textId="77777777" w:rsidR="00C54BE9" w:rsidRPr="00C54BE9" w:rsidRDefault="00C54BE9" w:rsidP="00C54BE9">
            <w:pPr>
              <w:spacing w:after="0" w:line="240" w:lineRule="auto"/>
              <w:jc w:val="left"/>
            </w:pPr>
            <w:r w:rsidRPr="00C54BE9">
              <w:t>T.10</w:t>
            </w:r>
          </w:p>
        </w:tc>
      </w:tr>
      <w:tr w:rsidR="00C54BE9" w:rsidRPr="00C54BE9" w14:paraId="1BC45E80" w14:textId="77777777" w:rsidTr="004812EF">
        <w:trPr>
          <w:trHeight w:val="360"/>
        </w:trPr>
        <w:tc>
          <w:tcPr>
            <w:tcW w:w="1885" w:type="dxa"/>
            <w:shd w:val="clear" w:color="auto" w:fill="EEF3F8"/>
            <w:hideMark/>
          </w:tcPr>
          <w:p w14:paraId="54D95060" w14:textId="77777777" w:rsidR="00C54BE9" w:rsidRPr="00C54BE9" w:rsidRDefault="00C54BE9" w:rsidP="00C54BE9">
            <w:pPr>
              <w:spacing w:after="0" w:line="240" w:lineRule="auto"/>
              <w:jc w:val="left"/>
            </w:pPr>
            <w:r w:rsidRPr="00C54BE9">
              <w:t>Operations</w:t>
            </w:r>
          </w:p>
        </w:tc>
        <w:tc>
          <w:tcPr>
            <w:tcW w:w="4950" w:type="dxa"/>
            <w:shd w:val="clear" w:color="auto" w:fill="EEF3F8"/>
            <w:hideMark/>
          </w:tcPr>
          <w:p w14:paraId="2FED4CB7" w14:textId="77777777" w:rsidR="00C54BE9" w:rsidRPr="00C54BE9" w:rsidRDefault="00C54BE9" w:rsidP="00C54BE9">
            <w:pPr>
              <w:spacing w:after="0" w:line="240" w:lineRule="auto"/>
              <w:jc w:val="left"/>
            </w:pPr>
            <w:r w:rsidRPr="00C54BE9">
              <w:t>Funding request for U-connection repair/replacement</w:t>
            </w:r>
          </w:p>
        </w:tc>
        <w:tc>
          <w:tcPr>
            <w:tcW w:w="1620" w:type="dxa"/>
            <w:shd w:val="clear" w:color="auto" w:fill="EEF3F8"/>
            <w:noWrap/>
            <w:hideMark/>
          </w:tcPr>
          <w:p w14:paraId="3DA4DA27" w14:textId="77777777" w:rsidR="00C54BE9" w:rsidRPr="00C54BE9" w:rsidRDefault="00C54BE9" w:rsidP="00C54BE9">
            <w:pPr>
              <w:spacing w:after="0" w:line="240" w:lineRule="auto"/>
              <w:jc w:val="left"/>
            </w:pPr>
            <w:r w:rsidRPr="00C54BE9">
              <w:t>T.11</w:t>
            </w:r>
          </w:p>
        </w:tc>
        <w:tc>
          <w:tcPr>
            <w:tcW w:w="1440" w:type="dxa"/>
            <w:shd w:val="clear" w:color="auto" w:fill="EEF3F8"/>
            <w:noWrap/>
            <w:hideMark/>
          </w:tcPr>
          <w:p w14:paraId="7851E38E"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893B32C"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554D9119" w14:textId="77777777" w:rsidR="00C54BE9" w:rsidRPr="00C54BE9" w:rsidRDefault="00C54BE9" w:rsidP="00C54BE9">
            <w:pPr>
              <w:spacing w:after="0" w:line="240" w:lineRule="auto"/>
              <w:jc w:val="left"/>
            </w:pPr>
            <w:r w:rsidRPr="00C54BE9">
              <w:t> </w:t>
            </w:r>
          </w:p>
        </w:tc>
      </w:tr>
      <w:tr w:rsidR="00C54BE9" w:rsidRPr="00C54BE9" w14:paraId="20B34C9F" w14:textId="77777777" w:rsidTr="004812EF">
        <w:trPr>
          <w:trHeight w:val="360"/>
        </w:trPr>
        <w:tc>
          <w:tcPr>
            <w:tcW w:w="1885" w:type="dxa"/>
            <w:shd w:val="clear" w:color="auto" w:fill="EEF3F8"/>
            <w:hideMark/>
          </w:tcPr>
          <w:p w14:paraId="576A15FC" w14:textId="77777777" w:rsidR="00C54BE9" w:rsidRPr="00C54BE9" w:rsidRDefault="00C54BE9" w:rsidP="00C54BE9">
            <w:pPr>
              <w:spacing w:after="0" w:line="240" w:lineRule="auto"/>
              <w:jc w:val="left"/>
            </w:pPr>
            <w:r w:rsidRPr="00C54BE9">
              <w:lastRenderedPageBreak/>
              <w:t>Operations</w:t>
            </w:r>
          </w:p>
        </w:tc>
        <w:tc>
          <w:tcPr>
            <w:tcW w:w="4950" w:type="dxa"/>
            <w:shd w:val="clear" w:color="auto" w:fill="EEF3F8"/>
            <w:hideMark/>
          </w:tcPr>
          <w:p w14:paraId="1BDA5B50" w14:textId="77777777" w:rsidR="00C54BE9" w:rsidRPr="00C54BE9" w:rsidRDefault="00C54BE9" w:rsidP="00C54BE9">
            <w:pPr>
              <w:spacing w:after="0" w:line="240" w:lineRule="auto"/>
              <w:jc w:val="left"/>
            </w:pPr>
            <w:r w:rsidRPr="00C54BE9">
              <w:t>Contract in place for coolant pipe replacement</w:t>
            </w:r>
          </w:p>
        </w:tc>
        <w:tc>
          <w:tcPr>
            <w:tcW w:w="1620" w:type="dxa"/>
            <w:shd w:val="clear" w:color="auto" w:fill="EEF3F8"/>
            <w:noWrap/>
            <w:hideMark/>
          </w:tcPr>
          <w:p w14:paraId="22EDBBB8" w14:textId="77777777" w:rsidR="00C54BE9" w:rsidRPr="00C54BE9" w:rsidRDefault="00C54BE9" w:rsidP="00C54BE9">
            <w:pPr>
              <w:spacing w:after="0" w:line="240" w:lineRule="auto"/>
              <w:jc w:val="left"/>
            </w:pPr>
            <w:r w:rsidRPr="00C54BE9">
              <w:t>T.12</w:t>
            </w:r>
          </w:p>
        </w:tc>
        <w:tc>
          <w:tcPr>
            <w:tcW w:w="1440" w:type="dxa"/>
            <w:shd w:val="clear" w:color="auto" w:fill="EEF3F8"/>
            <w:noWrap/>
            <w:hideMark/>
          </w:tcPr>
          <w:p w14:paraId="15474967"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6AD7B9CD"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70FFCEF4" w14:textId="77777777" w:rsidR="00C54BE9" w:rsidRPr="00C54BE9" w:rsidRDefault="00C54BE9" w:rsidP="00C54BE9">
            <w:pPr>
              <w:spacing w:after="0" w:line="240" w:lineRule="auto"/>
              <w:jc w:val="left"/>
            </w:pPr>
            <w:r w:rsidRPr="00C54BE9">
              <w:t> </w:t>
            </w:r>
          </w:p>
        </w:tc>
      </w:tr>
      <w:tr w:rsidR="00C54BE9" w:rsidRPr="00C54BE9" w14:paraId="219A4DD9" w14:textId="77777777" w:rsidTr="004812EF">
        <w:trPr>
          <w:trHeight w:val="360"/>
        </w:trPr>
        <w:tc>
          <w:tcPr>
            <w:tcW w:w="1885" w:type="dxa"/>
            <w:shd w:val="clear" w:color="auto" w:fill="EEF3F8"/>
            <w:hideMark/>
          </w:tcPr>
          <w:p w14:paraId="198F2B7B" w14:textId="77777777" w:rsidR="00C54BE9" w:rsidRPr="00C54BE9" w:rsidRDefault="00C54BE9" w:rsidP="00C54BE9">
            <w:pPr>
              <w:spacing w:after="0" w:line="240" w:lineRule="auto"/>
              <w:jc w:val="left"/>
            </w:pPr>
            <w:r w:rsidRPr="00C54BE9">
              <w:t>Operations</w:t>
            </w:r>
          </w:p>
        </w:tc>
        <w:tc>
          <w:tcPr>
            <w:tcW w:w="4950" w:type="dxa"/>
            <w:shd w:val="clear" w:color="auto" w:fill="EEF3F8"/>
            <w:hideMark/>
          </w:tcPr>
          <w:p w14:paraId="2483DE9C" w14:textId="77777777" w:rsidR="00C54BE9" w:rsidRPr="00C54BE9" w:rsidRDefault="00C54BE9" w:rsidP="00C54BE9">
            <w:pPr>
              <w:spacing w:after="0" w:line="240" w:lineRule="auto"/>
              <w:jc w:val="left"/>
            </w:pPr>
            <w:r w:rsidRPr="00C54BE9">
              <w:t>Coolant pipe replacement (lower half) complete</w:t>
            </w:r>
          </w:p>
        </w:tc>
        <w:tc>
          <w:tcPr>
            <w:tcW w:w="1620" w:type="dxa"/>
            <w:shd w:val="clear" w:color="auto" w:fill="EEF3F8"/>
            <w:noWrap/>
            <w:hideMark/>
          </w:tcPr>
          <w:p w14:paraId="71FFC0BD"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B920A18"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2C9A293D"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312CE001" w14:textId="77777777" w:rsidR="00C54BE9" w:rsidRPr="00C54BE9" w:rsidRDefault="00C54BE9" w:rsidP="00C54BE9">
            <w:pPr>
              <w:spacing w:after="0" w:line="240" w:lineRule="auto"/>
              <w:jc w:val="left"/>
            </w:pPr>
            <w:r w:rsidRPr="00C54BE9">
              <w:t>T.13</w:t>
            </w:r>
          </w:p>
        </w:tc>
      </w:tr>
      <w:tr w:rsidR="00C54BE9" w:rsidRPr="00C54BE9" w14:paraId="5A95EFB6" w14:textId="77777777" w:rsidTr="004812EF">
        <w:trPr>
          <w:trHeight w:val="360"/>
        </w:trPr>
        <w:tc>
          <w:tcPr>
            <w:tcW w:w="1885" w:type="dxa"/>
            <w:shd w:val="clear" w:color="auto" w:fill="EEF3F8"/>
            <w:hideMark/>
          </w:tcPr>
          <w:p w14:paraId="37A93C40" w14:textId="77777777" w:rsidR="00C54BE9" w:rsidRPr="00C54BE9" w:rsidRDefault="00C54BE9" w:rsidP="00C54BE9">
            <w:pPr>
              <w:spacing w:after="0" w:line="240" w:lineRule="auto"/>
              <w:jc w:val="left"/>
            </w:pPr>
            <w:r w:rsidRPr="00C54BE9">
              <w:t>Operations</w:t>
            </w:r>
          </w:p>
        </w:tc>
        <w:tc>
          <w:tcPr>
            <w:tcW w:w="4950" w:type="dxa"/>
            <w:shd w:val="clear" w:color="auto" w:fill="EEF3F8"/>
            <w:hideMark/>
          </w:tcPr>
          <w:p w14:paraId="7279227D" w14:textId="77777777" w:rsidR="00C54BE9" w:rsidRPr="00C54BE9" w:rsidRDefault="00C54BE9" w:rsidP="00C54BE9">
            <w:pPr>
              <w:spacing w:after="0" w:line="240" w:lineRule="auto"/>
              <w:jc w:val="left"/>
            </w:pPr>
            <w:r w:rsidRPr="00C54BE9">
              <w:t>Prime Focus maintenance, screws, Sterling mount, cables</w:t>
            </w:r>
          </w:p>
        </w:tc>
        <w:tc>
          <w:tcPr>
            <w:tcW w:w="1620" w:type="dxa"/>
            <w:shd w:val="clear" w:color="auto" w:fill="EEF3F8"/>
            <w:noWrap/>
            <w:hideMark/>
          </w:tcPr>
          <w:p w14:paraId="2C2CFAF1"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54A3A7D2"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256A0CF1"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707F315F" w14:textId="77777777" w:rsidR="00C54BE9" w:rsidRPr="00C54BE9" w:rsidRDefault="00C54BE9" w:rsidP="00C54BE9">
            <w:pPr>
              <w:spacing w:after="0" w:line="240" w:lineRule="auto"/>
              <w:jc w:val="left"/>
            </w:pPr>
            <w:r w:rsidRPr="00C54BE9">
              <w:t>T.14</w:t>
            </w:r>
          </w:p>
        </w:tc>
      </w:tr>
      <w:tr w:rsidR="00C54BE9" w:rsidRPr="00C54BE9" w14:paraId="017F0E1B" w14:textId="77777777" w:rsidTr="004812EF">
        <w:trPr>
          <w:trHeight w:val="360"/>
        </w:trPr>
        <w:tc>
          <w:tcPr>
            <w:tcW w:w="1885" w:type="dxa"/>
            <w:shd w:val="clear" w:color="auto" w:fill="EEF3F8"/>
            <w:hideMark/>
          </w:tcPr>
          <w:p w14:paraId="451A1007" w14:textId="77777777" w:rsidR="00C54BE9" w:rsidRPr="00C54BE9" w:rsidRDefault="00C54BE9" w:rsidP="00C54BE9">
            <w:pPr>
              <w:spacing w:after="0" w:line="240" w:lineRule="auto"/>
              <w:jc w:val="left"/>
            </w:pPr>
            <w:r w:rsidRPr="00C54BE9">
              <w:t>Operations</w:t>
            </w:r>
          </w:p>
        </w:tc>
        <w:tc>
          <w:tcPr>
            <w:tcW w:w="4950" w:type="dxa"/>
            <w:shd w:val="clear" w:color="auto" w:fill="EEF3F8"/>
            <w:hideMark/>
          </w:tcPr>
          <w:p w14:paraId="13E5C080" w14:textId="77777777" w:rsidR="00C54BE9" w:rsidRPr="00C54BE9" w:rsidRDefault="00C54BE9" w:rsidP="00C54BE9">
            <w:pPr>
              <w:spacing w:after="0" w:line="240" w:lineRule="auto"/>
              <w:jc w:val="left"/>
            </w:pPr>
            <w:r w:rsidRPr="00C54BE9">
              <w:t>Develop a plan for GBT primary and secondary surface molds</w:t>
            </w:r>
          </w:p>
        </w:tc>
        <w:tc>
          <w:tcPr>
            <w:tcW w:w="1620" w:type="dxa"/>
            <w:shd w:val="clear" w:color="auto" w:fill="EEF3F8"/>
            <w:noWrap/>
            <w:hideMark/>
          </w:tcPr>
          <w:p w14:paraId="7016ADD0" w14:textId="77777777" w:rsidR="00C54BE9" w:rsidRPr="00C54BE9" w:rsidRDefault="00C54BE9" w:rsidP="00C54BE9">
            <w:pPr>
              <w:spacing w:after="0" w:line="240" w:lineRule="auto"/>
              <w:jc w:val="left"/>
            </w:pPr>
            <w:r w:rsidRPr="00C54BE9">
              <w:t>T.15</w:t>
            </w:r>
          </w:p>
        </w:tc>
        <w:tc>
          <w:tcPr>
            <w:tcW w:w="1440" w:type="dxa"/>
            <w:shd w:val="clear" w:color="auto" w:fill="EEF3F8"/>
            <w:noWrap/>
            <w:hideMark/>
          </w:tcPr>
          <w:p w14:paraId="3116F10F"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582AA6E3"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77513584" w14:textId="77777777" w:rsidR="00C54BE9" w:rsidRPr="00C54BE9" w:rsidRDefault="00C54BE9" w:rsidP="00C54BE9">
            <w:pPr>
              <w:spacing w:after="0" w:line="240" w:lineRule="auto"/>
              <w:jc w:val="left"/>
            </w:pPr>
            <w:r w:rsidRPr="00C54BE9">
              <w:t> </w:t>
            </w:r>
          </w:p>
        </w:tc>
      </w:tr>
      <w:tr w:rsidR="00C54BE9" w:rsidRPr="00C54BE9" w14:paraId="44E1B7C2" w14:textId="77777777" w:rsidTr="004812EF">
        <w:trPr>
          <w:trHeight w:val="360"/>
        </w:trPr>
        <w:tc>
          <w:tcPr>
            <w:tcW w:w="1885" w:type="dxa"/>
            <w:shd w:val="clear" w:color="auto" w:fill="EEF3F8"/>
            <w:hideMark/>
          </w:tcPr>
          <w:p w14:paraId="024CCCBF" w14:textId="77777777" w:rsidR="00C54BE9" w:rsidRPr="00C54BE9" w:rsidRDefault="00C54BE9" w:rsidP="00C54BE9">
            <w:pPr>
              <w:spacing w:after="0" w:line="240" w:lineRule="auto"/>
              <w:jc w:val="left"/>
            </w:pPr>
            <w:r w:rsidRPr="00C54BE9">
              <w:t>Operations</w:t>
            </w:r>
          </w:p>
        </w:tc>
        <w:tc>
          <w:tcPr>
            <w:tcW w:w="4950" w:type="dxa"/>
            <w:shd w:val="clear" w:color="auto" w:fill="EEF3F8"/>
            <w:hideMark/>
          </w:tcPr>
          <w:p w14:paraId="575771EF" w14:textId="77777777" w:rsidR="00C54BE9" w:rsidRPr="00C54BE9" w:rsidRDefault="00C54BE9" w:rsidP="00C54BE9">
            <w:pPr>
              <w:spacing w:after="0" w:line="240" w:lineRule="auto"/>
              <w:jc w:val="left"/>
            </w:pPr>
            <w:r w:rsidRPr="00C54BE9">
              <w:t>Complete cleaning and inventorying of GBT surface molds</w:t>
            </w:r>
          </w:p>
        </w:tc>
        <w:tc>
          <w:tcPr>
            <w:tcW w:w="1620" w:type="dxa"/>
            <w:shd w:val="clear" w:color="auto" w:fill="EEF3F8"/>
            <w:noWrap/>
            <w:hideMark/>
          </w:tcPr>
          <w:p w14:paraId="50BACC27"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2936DC18"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38A65C16" w14:textId="77777777" w:rsidR="00C54BE9" w:rsidRPr="00C54BE9" w:rsidRDefault="00C54BE9" w:rsidP="00C54BE9">
            <w:pPr>
              <w:spacing w:after="0" w:line="240" w:lineRule="auto"/>
              <w:jc w:val="left"/>
            </w:pPr>
            <w:r w:rsidRPr="00C54BE9">
              <w:t>T.16</w:t>
            </w:r>
          </w:p>
        </w:tc>
        <w:tc>
          <w:tcPr>
            <w:tcW w:w="1400" w:type="dxa"/>
            <w:shd w:val="clear" w:color="auto" w:fill="EEF3F8"/>
            <w:noWrap/>
            <w:hideMark/>
          </w:tcPr>
          <w:p w14:paraId="612789E3" w14:textId="77777777" w:rsidR="00C54BE9" w:rsidRPr="00C54BE9" w:rsidRDefault="00C54BE9" w:rsidP="00C54BE9">
            <w:pPr>
              <w:spacing w:after="0" w:line="240" w:lineRule="auto"/>
              <w:jc w:val="left"/>
            </w:pPr>
            <w:r w:rsidRPr="00C54BE9">
              <w:t> </w:t>
            </w:r>
          </w:p>
        </w:tc>
      </w:tr>
      <w:tr w:rsidR="00C54BE9" w:rsidRPr="00C54BE9" w14:paraId="55DB5D03" w14:textId="77777777" w:rsidTr="004812EF">
        <w:trPr>
          <w:trHeight w:val="300"/>
        </w:trPr>
        <w:tc>
          <w:tcPr>
            <w:tcW w:w="1885" w:type="dxa"/>
            <w:shd w:val="clear" w:color="auto" w:fill="EEF3F8"/>
            <w:hideMark/>
          </w:tcPr>
          <w:p w14:paraId="225375B4"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76D74744" w14:textId="77777777" w:rsidR="00C54BE9" w:rsidRPr="00C54BE9" w:rsidRDefault="00C54BE9" w:rsidP="00C54BE9">
            <w:pPr>
              <w:spacing w:after="0" w:line="240" w:lineRule="auto"/>
              <w:jc w:val="left"/>
            </w:pPr>
            <w:r w:rsidRPr="00C54BE9">
              <w:t>GBT Semester 22A TAC Materials</w:t>
            </w:r>
          </w:p>
        </w:tc>
        <w:tc>
          <w:tcPr>
            <w:tcW w:w="1620" w:type="dxa"/>
            <w:shd w:val="clear" w:color="auto" w:fill="EEF3F8"/>
            <w:noWrap/>
            <w:hideMark/>
          </w:tcPr>
          <w:p w14:paraId="3BD5E37B" w14:textId="77777777" w:rsidR="00C54BE9" w:rsidRPr="00C54BE9" w:rsidRDefault="00C54BE9" w:rsidP="00C54BE9">
            <w:pPr>
              <w:spacing w:after="0" w:line="240" w:lineRule="auto"/>
              <w:jc w:val="left"/>
            </w:pPr>
            <w:r w:rsidRPr="00C54BE9">
              <w:t>Sc.1</w:t>
            </w:r>
          </w:p>
        </w:tc>
        <w:tc>
          <w:tcPr>
            <w:tcW w:w="1440" w:type="dxa"/>
            <w:shd w:val="clear" w:color="auto" w:fill="EEF3F8"/>
            <w:noWrap/>
            <w:hideMark/>
          </w:tcPr>
          <w:p w14:paraId="1784AF31"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5841A58B"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6978AEEB" w14:textId="77777777" w:rsidR="00C54BE9" w:rsidRPr="00C54BE9" w:rsidRDefault="00C54BE9" w:rsidP="00C54BE9">
            <w:pPr>
              <w:spacing w:after="0" w:line="240" w:lineRule="auto"/>
              <w:jc w:val="left"/>
            </w:pPr>
            <w:r w:rsidRPr="00C54BE9">
              <w:t> </w:t>
            </w:r>
          </w:p>
        </w:tc>
      </w:tr>
      <w:tr w:rsidR="00C54BE9" w:rsidRPr="00C54BE9" w14:paraId="23B83F76" w14:textId="77777777" w:rsidTr="004812EF">
        <w:trPr>
          <w:trHeight w:val="300"/>
        </w:trPr>
        <w:tc>
          <w:tcPr>
            <w:tcW w:w="1885" w:type="dxa"/>
            <w:shd w:val="clear" w:color="auto" w:fill="EEF3F8"/>
            <w:hideMark/>
          </w:tcPr>
          <w:p w14:paraId="5B8C2EA7"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2BE6B275" w14:textId="77777777" w:rsidR="00C54BE9" w:rsidRPr="00C54BE9" w:rsidRDefault="00C54BE9" w:rsidP="00C54BE9">
            <w:pPr>
              <w:spacing w:after="0" w:line="240" w:lineRule="auto"/>
              <w:jc w:val="left"/>
            </w:pPr>
            <w:r w:rsidRPr="00C54BE9">
              <w:t>GBT: Semester 22A Review complete</w:t>
            </w:r>
          </w:p>
        </w:tc>
        <w:tc>
          <w:tcPr>
            <w:tcW w:w="1620" w:type="dxa"/>
            <w:shd w:val="clear" w:color="auto" w:fill="EEF3F8"/>
            <w:noWrap/>
            <w:hideMark/>
          </w:tcPr>
          <w:p w14:paraId="4C58FAA9" w14:textId="77777777" w:rsidR="00C54BE9" w:rsidRPr="00C54BE9" w:rsidRDefault="00C54BE9" w:rsidP="00C54BE9">
            <w:pPr>
              <w:spacing w:after="0" w:line="240" w:lineRule="auto"/>
              <w:jc w:val="left"/>
            </w:pPr>
            <w:r w:rsidRPr="00C54BE9">
              <w:t xml:space="preserve">Sc.2 </w:t>
            </w:r>
          </w:p>
        </w:tc>
        <w:tc>
          <w:tcPr>
            <w:tcW w:w="1440" w:type="dxa"/>
            <w:shd w:val="clear" w:color="auto" w:fill="EEF3F8"/>
            <w:noWrap/>
            <w:hideMark/>
          </w:tcPr>
          <w:p w14:paraId="0C94FC2A"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4A9A97C5"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27BD4978" w14:textId="77777777" w:rsidR="00C54BE9" w:rsidRPr="00C54BE9" w:rsidRDefault="00C54BE9" w:rsidP="00C54BE9">
            <w:pPr>
              <w:spacing w:after="0" w:line="240" w:lineRule="auto"/>
              <w:jc w:val="left"/>
            </w:pPr>
            <w:r w:rsidRPr="00C54BE9">
              <w:t> </w:t>
            </w:r>
          </w:p>
        </w:tc>
      </w:tr>
      <w:tr w:rsidR="00C54BE9" w:rsidRPr="00C54BE9" w14:paraId="230D8491" w14:textId="77777777" w:rsidTr="004812EF">
        <w:trPr>
          <w:trHeight w:val="300"/>
        </w:trPr>
        <w:tc>
          <w:tcPr>
            <w:tcW w:w="1885" w:type="dxa"/>
            <w:shd w:val="clear" w:color="auto" w:fill="EEF3F8"/>
            <w:hideMark/>
          </w:tcPr>
          <w:p w14:paraId="6E67548D"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0D239864" w14:textId="77777777" w:rsidR="00C54BE9" w:rsidRPr="00C54BE9" w:rsidRDefault="00C54BE9" w:rsidP="00C54BE9">
            <w:pPr>
              <w:spacing w:after="0" w:line="240" w:lineRule="auto"/>
              <w:jc w:val="left"/>
            </w:pPr>
            <w:r w:rsidRPr="00C54BE9">
              <w:t>GBT: Release 22B proposal call</w:t>
            </w:r>
          </w:p>
        </w:tc>
        <w:tc>
          <w:tcPr>
            <w:tcW w:w="1620" w:type="dxa"/>
            <w:shd w:val="clear" w:color="auto" w:fill="EEF3F8"/>
            <w:noWrap/>
            <w:hideMark/>
          </w:tcPr>
          <w:p w14:paraId="2999EED9"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116CCF5B" w14:textId="77777777" w:rsidR="00C54BE9" w:rsidRPr="00C54BE9" w:rsidRDefault="00C54BE9" w:rsidP="00C54BE9">
            <w:pPr>
              <w:spacing w:after="0" w:line="240" w:lineRule="auto"/>
              <w:jc w:val="left"/>
            </w:pPr>
            <w:r w:rsidRPr="00C54BE9">
              <w:t>Sc.3</w:t>
            </w:r>
          </w:p>
        </w:tc>
        <w:tc>
          <w:tcPr>
            <w:tcW w:w="1440" w:type="dxa"/>
            <w:shd w:val="clear" w:color="auto" w:fill="EEF3F8"/>
            <w:noWrap/>
            <w:hideMark/>
          </w:tcPr>
          <w:p w14:paraId="165B8557"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501725AF" w14:textId="77777777" w:rsidR="00C54BE9" w:rsidRPr="00C54BE9" w:rsidRDefault="00C54BE9" w:rsidP="00C54BE9">
            <w:pPr>
              <w:spacing w:after="0" w:line="240" w:lineRule="auto"/>
              <w:jc w:val="left"/>
            </w:pPr>
            <w:r w:rsidRPr="00C54BE9">
              <w:t> </w:t>
            </w:r>
          </w:p>
        </w:tc>
      </w:tr>
      <w:tr w:rsidR="00C54BE9" w:rsidRPr="00C54BE9" w14:paraId="2B0819F3" w14:textId="77777777" w:rsidTr="004812EF">
        <w:trPr>
          <w:trHeight w:val="300"/>
        </w:trPr>
        <w:tc>
          <w:tcPr>
            <w:tcW w:w="1885" w:type="dxa"/>
            <w:shd w:val="clear" w:color="auto" w:fill="EEF3F8"/>
            <w:hideMark/>
          </w:tcPr>
          <w:p w14:paraId="58A367EB"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0FD699E3" w14:textId="77777777" w:rsidR="00C54BE9" w:rsidRPr="00C54BE9" w:rsidRDefault="00C54BE9" w:rsidP="00C54BE9">
            <w:pPr>
              <w:spacing w:after="0" w:line="240" w:lineRule="auto"/>
              <w:jc w:val="left"/>
            </w:pPr>
            <w:r w:rsidRPr="00C54BE9">
              <w:t>GBT: Semester 22B TAC Materials</w:t>
            </w:r>
          </w:p>
        </w:tc>
        <w:tc>
          <w:tcPr>
            <w:tcW w:w="1620" w:type="dxa"/>
            <w:shd w:val="clear" w:color="auto" w:fill="EEF3F8"/>
            <w:noWrap/>
            <w:hideMark/>
          </w:tcPr>
          <w:p w14:paraId="36DA4214"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6E25BDF9"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38F5E8F3" w14:textId="77777777" w:rsidR="00C54BE9" w:rsidRPr="00C54BE9" w:rsidRDefault="00C54BE9" w:rsidP="00C54BE9">
            <w:pPr>
              <w:spacing w:after="0" w:line="240" w:lineRule="auto"/>
              <w:jc w:val="left"/>
            </w:pPr>
            <w:r w:rsidRPr="00C54BE9">
              <w:t>Sc.4</w:t>
            </w:r>
          </w:p>
        </w:tc>
        <w:tc>
          <w:tcPr>
            <w:tcW w:w="1400" w:type="dxa"/>
            <w:shd w:val="clear" w:color="auto" w:fill="EEF3F8"/>
            <w:noWrap/>
            <w:hideMark/>
          </w:tcPr>
          <w:p w14:paraId="4CF696E8" w14:textId="77777777" w:rsidR="00C54BE9" w:rsidRPr="00C54BE9" w:rsidRDefault="00C54BE9" w:rsidP="00C54BE9">
            <w:pPr>
              <w:spacing w:after="0" w:line="240" w:lineRule="auto"/>
              <w:jc w:val="left"/>
            </w:pPr>
            <w:r w:rsidRPr="00C54BE9">
              <w:t> </w:t>
            </w:r>
          </w:p>
        </w:tc>
      </w:tr>
      <w:tr w:rsidR="00C54BE9" w:rsidRPr="00C54BE9" w14:paraId="6801762D" w14:textId="77777777" w:rsidTr="004812EF">
        <w:trPr>
          <w:trHeight w:val="300"/>
        </w:trPr>
        <w:tc>
          <w:tcPr>
            <w:tcW w:w="1885" w:type="dxa"/>
            <w:shd w:val="clear" w:color="auto" w:fill="EEF3F8"/>
            <w:hideMark/>
          </w:tcPr>
          <w:p w14:paraId="70D846AE"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341C8563" w14:textId="77777777" w:rsidR="00C54BE9" w:rsidRPr="00C54BE9" w:rsidRDefault="00C54BE9" w:rsidP="00C54BE9">
            <w:pPr>
              <w:spacing w:after="0" w:line="240" w:lineRule="auto"/>
              <w:jc w:val="left"/>
            </w:pPr>
            <w:r w:rsidRPr="00C54BE9">
              <w:t>GBT: 22B Proposal review complete</w:t>
            </w:r>
          </w:p>
        </w:tc>
        <w:tc>
          <w:tcPr>
            <w:tcW w:w="1620" w:type="dxa"/>
            <w:shd w:val="clear" w:color="auto" w:fill="EEF3F8"/>
            <w:noWrap/>
            <w:hideMark/>
          </w:tcPr>
          <w:p w14:paraId="4535EA53"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406B574E"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1012D6A" w14:textId="77777777" w:rsidR="00C54BE9" w:rsidRPr="00C54BE9" w:rsidRDefault="00C54BE9" w:rsidP="00C54BE9">
            <w:pPr>
              <w:spacing w:after="0" w:line="240" w:lineRule="auto"/>
              <w:jc w:val="left"/>
            </w:pPr>
            <w:r w:rsidRPr="00C54BE9">
              <w:t>Sc.5</w:t>
            </w:r>
          </w:p>
        </w:tc>
        <w:tc>
          <w:tcPr>
            <w:tcW w:w="1400" w:type="dxa"/>
            <w:shd w:val="clear" w:color="auto" w:fill="EEF3F8"/>
            <w:noWrap/>
            <w:hideMark/>
          </w:tcPr>
          <w:p w14:paraId="553832CB" w14:textId="77777777" w:rsidR="00C54BE9" w:rsidRPr="00C54BE9" w:rsidRDefault="00C54BE9" w:rsidP="00C54BE9">
            <w:pPr>
              <w:spacing w:after="0" w:line="240" w:lineRule="auto"/>
              <w:jc w:val="left"/>
            </w:pPr>
            <w:r w:rsidRPr="00C54BE9">
              <w:t> </w:t>
            </w:r>
          </w:p>
        </w:tc>
      </w:tr>
      <w:tr w:rsidR="00C54BE9" w:rsidRPr="00C54BE9" w14:paraId="71E10FF1" w14:textId="77777777" w:rsidTr="004812EF">
        <w:trPr>
          <w:trHeight w:val="300"/>
        </w:trPr>
        <w:tc>
          <w:tcPr>
            <w:tcW w:w="1885" w:type="dxa"/>
            <w:shd w:val="clear" w:color="auto" w:fill="EEF3F8"/>
            <w:hideMark/>
          </w:tcPr>
          <w:p w14:paraId="1B1F93C9"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25754E07" w14:textId="77777777" w:rsidR="00C54BE9" w:rsidRPr="00C54BE9" w:rsidRDefault="00C54BE9" w:rsidP="00C54BE9">
            <w:pPr>
              <w:spacing w:after="0" w:line="240" w:lineRule="auto"/>
              <w:jc w:val="left"/>
            </w:pPr>
            <w:r w:rsidRPr="00C54BE9">
              <w:t>GBT: Release Semester 23A proposal call</w:t>
            </w:r>
          </w:p>
        </w:tc>
        <w:tc>
          <w:tcPr>
            <w:tcW w:w="1620" w:type="dxa"/>
            <w:shd w:val="clear" w:color="auto" w:fill="EEF3F8"/>
            <w:noWrap/>
            <w:hideMark/>
          </w:tcPr>
          <w:p w14:paraId="203F2B60"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326FCAA2"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05BD6AA4"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4EB0DB7C" w14:textId="77777777" w:rsidR="00C54BE9" w:rsidRPr="00C54BE9" w:rsidRDefault="00C54BE9" w:rsidP="00C54BE9">
            <w:pPr>
              <w:spacing w:after="0" w:line="240" w:lineRule="auto"/>
              <w:jc w:val="left"/>
            </w:pPr>
            <w:r w:rsidRPr="00C54BE9">
              <w:t>Sc.6</w:t>
            </w:r>
          </w:p>
        </w:tc>
      </w:tr>
      <w:tr w:rsidR="00C54BE9" w:rsidRPr="00C54BE9" w14:paraId="5E661B66" w14:textId="77777777" w:rsidTr="004812EF">
        <w:trPr>
          <w:trHeight w:val="300"/>
        </w:trPr>
        <w:tc>
          <w:tcPr>
            <w:tcW w:w="1885" w:type="dxa"/>
            <w:shd w:val="clear" w:color="auto" w:fill="EEF3F8"/>
            <w:hideMark/>
          </w:tcPr>
          <w:p w14:paraId="622D7FF8"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06932AD5" w14:textId="77777777" w:rsidR="00C54BE9" w:rsidRPr="00C54BE9" w:rsidRDefault="00C54BE9" w:rsidP="00C54BE9">
            <w:pPr>
              <w:spacing w:after="0" w:line="240" w:lineRule="auto"/>
              <w:jc w:val="left"/>
            </w:pPr>
            <w:r w:rsidRPr="00C54BE9">
              <w:t>Track performance measurements</w:t>
            </w:r>
          </w:p>
        </w:tc>
        <w:tc>
          <w:tcPr>
            <w:tcW w:w="1620" w:type="dxa"/>
            <w:shd w:val="clear" w:color="auto" w:fill="EEF3F8"/>
            <w:noWrap/>
            <w:hideMark/>
          </w:tcPr>
          <w:p w14:paraId="56DEE9C5" w14:textId="77777777" w:rsidR="00C54BE9" w:rsidRPr="00C54BE9" w:rsidRDefault="00C54BE9" w:rsidP="00C54BE9">
            <w:pPr>
              <w:spacing w:after="0" w:line="240" w:lineRule="auto"/>
              <w:jc w:val="left"/>
            </w:pPr>
            <w:r w:rsidRPr="00C54BE9">
              <w:t xml:space="preserve">Sc.7 </w:t>
            </w:r>
          </w:p>
        </w:tc>
        <w:tc>
          <w:tcPr>
            <w:tcW w:w="1440" w:type="dxa"/>
            <w:shd w:val="clear" w:color="auto" w:fill="EEF3F8"/>
            <w:noWrap/>
            <w:hideMark/>
          </w:tcPr>
          <w:p w14:paraId="40BB13D7"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63F500CF"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492D0002" w14:textId="77777777" w:rsidR="00C54BE9" w:rsidRPr="00C54BE9" w:rsidRDefault="00C54BE9" w:rsidP="00C54BE9">
            <w:pPr>
              <w:spacing w:after="0" w:line="240" w:lineRule="auto"/>
              <w:jc w:val="left"/>
            </w:pPr>
            <w:r w:rsidRPr="00C54BE9">
              <w:t> </w:t>
            </w:r>
          </w:p>
        </w:tc>
      </w:tr>
      <w:tr w:rsidR="00C54BE9" w:rsidRPr="00C54BE9" w14:paraId="6F9870C1" w14:textId="77777777" w:rsidTr="004812EF">
        <w:trPr>
          <w:trHeight w:val="300"/>
        </w:trPr>
        <w:tc>
          <w:tcPr>
            <w:tcW w:w="1885" w:type="dxa"/>
            <w:shd w:val="clear" w:color="auto" w:fill="EEF3F8"/>
            <w:hideMark/>
          </w:tcPr>
          <w:p w14:paraId="0E360D9F"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4AB54003" w14:textId="77777777" w:rsidR="00C54BE9" w:rsidRPr="00C54BE9" w:rsidRDefault="00C54BE9" w:rsidP="00C54BE9">
            <w:pPr>
              <w:spacing w:after="0" w:line="240" w:lineRule="auto"/>
              <w:jc w:val="left"/>
            </w:pPr>
            <w:r w:rsidRPr="00C54BE9">
              <w:t>Track model updated</w:t>
            </w:r>
          </w:p>
        </w:tc>
        <w:tc>
          <w:tcPr>
            <w:tcW w:w="1620" w:type="dxa"/>
            <w:shd w:val="clear" w:color="auto" w:fill="EEF3F8"/>
            <w:noWrap/>
            <w:hideMark/>
          </w:tcPr>
          <w:p w14:paraId="26659639"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2240C819" w14:textId="77777777" w:rsidR="00C54BE9" w:rsidRPr="00C54BE9" w:rsidRDefault="00C54BE9" w:rsidP="00C54BE9">
            <w:pPr>
              <w:spacing w:after="0" w:line="240" w:lineRule="auto"/>
              <w:jc w:val="left"/>
            </w:pPr>
            <w:r w:rsidRPr="00C54BE9">
              <w:t xml:space="preserve">Sc.8  </w:t>
            </w:r>
          </w:p>
        </w:tc>
        <w:tc>
          <w:tcPr>
            <w:tcW w:w="1440" w:type="dxa"/>
            <w:shd w:val="clear" w:color="auto" w:fill="EEF3F8"/>
            <w:noWrap/>
            <w:hideMark/>
          </w:tcPr>
          <w:p w14:paraId="2A49342F"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5563C564" w14:textId="77777777" w:rsidR="00C54BE9" w:rsidRPr="00C54BE9" w:rsidRDefault="00C54BE9" w:rsidP="00C54BE9">
            <w:pPr>
              <w:spacing w:after="0" w:line="240" w:lineRule="auto"/>
              <w:jc w:val="left"/>
            </w:pPr>
            <w:r w:rsidRPr="00C54BE9">
              <w:t> </w:t>
            </w:r>
          </w:p>
        </w:tc>
      </w:tr>
      <w:tr w:rsidR="00C54BE9" w:rsidRPr="00C54BE9" w14:paraId="21028550" w14:textId="77777777" w:rsidTr="004812EF">
        <w:trPr>
          <w:trHeight w:val="300"/>
        </w:trPr>
        <w:tc>
          <w:tcPr>
            <w:tcW w:w="1885" w:type="dxa"/>
            <w:shd w:val="clear" w:color="auto" w:fill="EEF3F8"/>
            <w:hideMark/>
          </w:tcPr>
          <w:p w14:paraId="462A9DBD"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6BF23ECA" w14:textId="77777777" w:rsidR="00C54BE9" w:rsidRPr="00C54BE9" w:rsidRDefault="00C54BE9" w:rsidP="00C54BE9">
            <w:pPr>
              <w:spacing w:after="0" w:line="240" w:lineRule="auto"/>
              <w:jc w:val="left"/>
            </w:pPr>
            <w:r w:rsidRPr="00C54BE9">
              <w:t>Argus and W-band manager documentation</w:t>
            </w:r>
          </w:p>
        </w:tc>
        <w:tc>
          <w:tcPr>
            <w:tcW w:w="1620" w:type="dxa"/>
            <w:shd w:val="clear" w:color="auto" w:fill="EEF3F8"/>
            <w:noWrap/>
            <w:hideMark/>
          </w:tcPr>
          <w:p w14:paraId="475FB123"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3D1B58F7"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5D30DFFC"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370DA1BC" w14:textId="77777777" w:rsidR="00C54BE9" w:rsidRPr="00C54BE9" w:rsidRDefault="00C54BE9" w:rsidP="00C54BE9">
            <w:pPr>
              <w:spacing w:after="0" w:line="240" w:lineRule="auto"/>
              <w:jc w:val="left"/>
            </w:pPr>
            <w:r w:rsidRPr="00C54BE9">
              <w:t>Sc.9</w:t>
            </w:r>
          </w:p>
        </w:tc>
      </w:tr>
      <w:tr w:rsidR="00C54BE9" w:rsidRPr="00C54BE9" w14:paraId="102501CA" w14:textId="77777777" w:rsidTr="004812EF">
        <w:trPr>
          <w:trHeight w:val="300"/>
        </w:trPr>
        <w:tc>
          <w:tcPr>
            <w:tcW w:w="1885" w:type="dxa"/>
            <w:shd w:val="clear" w:color="auto" w:fill="EEF3F8"/>
            <w:hideMark/>
          </w:tcPr>
          <w:p w14:paraId="78C103A2"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1FB55930" w14:textId="74CD1E0A" w:rsidR="00C54BE9" w:rsidRPr="00C54BE9" w:rsidRDefault="00C54BE9" w:rsidP="00C54BE9">
            <w:pPr>
              <w:spacing w:after="0" w:line="240" w:lineRule="auto"/>
              <w:jc w:val="left"/>
            </w:pPr>
            <w:r w:rsidRPr="00C54BE9">
              <w:t>Order Digital LVDTs for FY</w:t>
            </w:r>
            <w:r w:rsidR="00940436">
              <w:t>20</w:t>
            </w:r>
            <w:r w:rsidRPr="00C54BE9">
              <w:t>22 replacements</w:t>
            </w:r>
          </w:p>
        </w:tc>
        <w:tc>
          <w:tcPr>
            <w:tcW w:w="1620" w:type="dxa"/>
            <w:shd w:val="clear" w:color="auto" w:fill="EEF3F8"/>
            <w:noWrap/>
            <w:hideMark/>
          </w:tcPr>
          <w:p w14:paraId="0B2B3951" w14:textId="77777777" w:rsidR="00C54BE9" w:rsidRPr="00C54BE9" w:rsidRDefault="00C54BE9" w:rsidP="00C54BE9">
            <w:pPr>
              <w:spacing w:after="0" w:line="240" w:lineRule="auto"/>
              <w:jc w:val="left"/>
            </w:pPr>
            <w:r w:rsidRPr="00C54BE9">
              <w:t>E.7</w:t>
            </w:r>
          </w:p>
        </w:tc>
        <w:tc>
          <w:tcPr>
            <w:tcW w:w="1440" w:type="dxa"/>
            <w:shd w:val="clear" w:color="auto" w:fill="EEF3F8"/>
            <w:noWrap/>
            <w:hideMark/>
          </w:tcPr>
          <w:p w14:paraId="144298B8"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59E97879"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6CBFAB8C" w14:textId="77777777" w:rsidR="00C54BE9" w:rsidRPr="00C54BE9" w:rsidRDefault="00C54BE9" w:rsidP="00C54BE9">
            <w:pPr>
              <w:spacing w:after="0" w:line="240" w:lineRule="auto"/>
              <w:jc w:val="left"/>
            </w:pPr>
            <w:r w:rsidRPr="00C54BE9">
              <w:t> </w:t>
            </w:r>
          </w:p>
        </w:tc>
      </w:tr>
      <w:tr w:rsidR="00C54BE9" w:rsidRPr="00C54BE9" w14:paraId="4085D487" w14:textId="77777777" w:rsidTr="004812EF">
        <w:trPr>
          <w:trHeight w:val="300"/>
        </w:trPr>
        <w:tc>
          <w:tcPr>
            <w:tcW w:w="1885" w:type="dxa"/>
            <w:shd w:val="clear" w:color="auto" w:fill="EEF3F8"/>
            <w:hideMark/>
          </w:tcPr>
          <w:p w14:paraId="76C25375"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1808AEBC" w14:textId="77777777" w:rsidR="00C54BE9" w:rsidRPr="00C54BE9" w:rsidRDefault="00C54BE9" w:rsidP="00C54BE9">
            <w:pPr>
              <w:spacing w:after="0" w:line="240" w:lineRule="auto"/>
              <w:jc w:val="left"/>
            </w:pPr>
            <w:r w:rsidRPr="00C54BE9">
              <w:t>GBT motor maintenance preparation</w:t>
            </w:r>
          </w:p>
        </w:tc>
        <w:tc>
          <w:tcPr>
            <w:tcW w:w="1620" w:type="dxa"/>
            <w:shd w:val="clear" w:color="auto" w:fill="EEF3F8"/>
            <w:noWrap/>
            <w:hideMark/>
          </w:tcPr>
          <w:p w14:paraId="20242642"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25DC8227" w14:textId="77777777" w:rsidR="00C54BE9" w:rsidRPr="00C54BE9" w:rsidRDefault="00C54BE9" w:rsidP="00C54BE9">
            <w:pPr>
              <w:spacing w:after="0" w:line="240" w:lineRule="auto"/>
              <w:jc w:val="left"/>
            </w:pPr>
            <w:r w:rsidRPr="00C54BE9">
              <w:t>E.8</w:t>
            </w:r>
          </w:p>
        </w:tc>
        <w:tc>
          <w:tcPr>
            <w:tcW w:w="1440" w:type="dxa"/>
            <w:shd w:val="clear" w:color="auto" w:fill="EEF3F8"/>
            <w:noWrap/>
            <w:hideMark/>
          </w:tcPr>
          <w:p w14:paraId="1779D349"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37AB4514" w14:textId="77777777" w:rsidR="00C54BE9" w:rsidRPr="00C54BE9" w:rsidRDefault="00C54BE9" w:rsidP="00C54BE9">
            <w:pPr>
              <w:spacing w:after="0" w:line="240" w:lineRule="auto"/>
              <w:jc w:val="left"/>
            </w:pPr>
            <w:r w:rsidRPr="00C54BE9">
              <w:t> </w:t>
            </w:r>
          </w:p>
        </w:tc>
      </w:tr>
      <w:tr w:rsidR="00C54BE9" w:rsidRPr="00C54BE9" w14:paraId="67082CD7" w14:textId="77777777" w:rsidTr="004812EF">
        <w:trPr>
          <w:trHeight w:val="300"/>
        </w:trPr>
        <w:tc>
          <w:tcPr>
            <w:tcW w:w="1885" w:type="dxa"/>
            <w:shd w:val="clear" w:color="auto" w:fill="EEF3F8"/>
            <w:hideMark/>
          </w:tcPr>
          <w:p w14:paraId="693704B9"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7EBD2A8F" w14:textId="77777777" w:rsidR="00C54BE9" w:rsidRPr="00C54BE9" w:rsidRDefault="00C54BE9" w:rsidP="00C54BE9">
            <w:pPr>
              <w:spacing w:after="0" w:line="240" w:lineRule="auto"/>
              <w:jc w:val="left"/>
            </w:pPr>
            <w:r w:rsidRPr="00C54BE9">
              <w:t>GBT actuator maintenance</w:t>
            </w:r>
          </w:p>
        </w:tc>
        <w:tc>
          <w:tcPr>
            <w:tcW w:w="1620" w:type="dxa"/>
            <w:shd w:val="clear" w:color="auto" w:fill="EEF3F8"/>
            <w:noWrap/>
            <w:hideMark/>
          </w:tcPr>
          <w:p w14:paraId="3A16ABBB"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12C70179"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7903EF1" w14:textId="77777777" w:rsidR="00C54BE9" w:rsidRPr="00C54BE9" w:rsidRDefault="00C54BE9" w:rsidP="00C54BE9">
            <w:pPr>
              <w:spacing w:after="0" w:line="240" w:lineRule="auto"/>
              <w:jc w:val="left"/>
            </w:pPr>
            <w:r w:rsidRPr="00C54BE9">
              <w:t>E.9</w:t>
            </w:r>
          </w:p>
        </w:tc>
        <w:tc>
          <w:tcPr>
            <w:tcW w:w="1400" w:type="dxa"/>
            <w:shd w:val="clear" w:color="auto" w:fill="EEF3F8"/>
            <w:noWrap/>
            <w:hideMark/>
          </w:tcPr>
          <w:p w14:paraId="73CBA865" w14:textId="77777777" w:rsidR="00C54BE9" w:rsidRPr="00C54BE9" w:rsidRDefault="00C54BE9" w:rsidP="00C54BE9">
            <w:pPr>
              <w:spacing w:after="0" w:line="240" w:lineRule="auto"/>
              <w:jc w:val="left"/>
            </w:pPr>
            <w:r w:rsidRPr="00C54BE9">
              <w:t>E.9</w:t>
            </w:r>
          </w:p>
        </w:tc>
      </w:tr>
      <w:tr w:rsidR="00C54BE9" w:rsidRPr="00C54BE9" w14:paraId="1056BD5E" w14:textId="77777777" w:rsidTr="004812EF">
        <w:trPr>
          <w:trHeight w:val="300"/>
        </w:trPr>
        <w:tc>
          <w:tcPr>
            <w:tcW w:w="1885" w:type="dxa"/>
            <w:shd w:val="clear" w:color="auto" w:fill="EEF3F8"/>
            <w:hideMark/>
          </w:tcPr>
          <w:p w14:paraId="3FAD2193"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6FEDECB3" w14:textId="77777777" w:rsidR="00C54BE9" w:rsidRPr="00C54BE9" w:rsidRDefault="00C54BE9" w:rsidP="00C54BE9">
            <w:pPr>
              <w:spacing w:after="0" w:line="240" w:lineRule="auto"/>
              <w:jc w:val="left"/>
            </w:pPr>
            <w:r w:rsidRPr="00C54BE9">
              <w:t>Historic: Calibration horn rehabilitation</w:t>
            </w:r>
          </w:p>
        </w:tc>
        <w:tc>
          <w:tcPr>
            <w:tcW w:w="1620" w:type="dxa"/>
            <w:shd w:val="clear" w:color="auto" w:fill="EEF3F8"/>
            <w:noWrap/>
            <w:hideMark/>
          </w:tcPr>
          <w:p w14:paraId="159E893D"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E03A686" w14:textId="77777777" w:rsidR="00C54BE9" w:rsidRPr="00C54BE9" w:rsidRDefault="00C54BE9" w:rsidP="00C54BE9">
            <w:pPr>
              <w:spacing w:after="0" w:line="240" w:lineRule="auto"/>
              <w:jc w:val="left"/>
            </w:pPr>
            <w:r w:rsidRPr="00C54BE9">
              <w:t>P.12</w:t>
            </w:r>
          </w:p>
        </w:tc>
        <w:tc>
          <w:tcPr>
            <w:tcW w:w="1440" w:type="dxa"/>
            <w:shd w:val="clear" w:color="auto" w:fill="EEF3F8"/>
            <w:noWrap/>
            <w:hideMark/>
          </w:tcPr>
          <w:p w14:paraId="6D1859D0" w14:textId="77777777" w:rsidR="00C54BE9" w:rsidRPr="00C54BE9" w:rsidRDefault="00C54BE9" w:rsidP="00C54BE9">
            <w:pPr>
              <w:spacing w:after="0" w:line="240" w:lineRule="auto"/>
              <w:jc w:val="left"/>
            </w:pPr>
            <w:r w:rsidRPr="00C54BE9">
              <w:t> </w:t>
            </w:r>
          </w:p>
        </w:tc>
        <w:tc>
          <w:tcPr>
            <w:tcW w:w="1400" w:type="dxa"/>
            <w:shd w:val="clear" w:color="auto" w:fill="EEF3F8"/>
            <w:hideMark/>
          </w:tcPr>
          <w:p w14:paraId="5A3A7992" w14:textId="77777777" w:rsidR="00C54BE9" w:rsidRPr="00C54BE9" w:rsidRDefault="00C54BE9" w:rsidP="00C54BE9">
            <w:pPr>
              <w:spacing w:after="0" w:line="240" w:lineRule="auto"/>
              <w:jc w:val="left"/>
            </w:pPr>
            <w:r w:rsidRPr="00C54BE9">
              <w:t> </w:t>
            </w:r>
          </w:p>
        </w:tc>
      </w:tr>
      <w:tr w:rsidR="00C54BE9" w:rsidRPr="00C54BE9" w14:paraId="31D8A006" w14:textId="77777777" w:rsidTr="004812EF">
        <w:trPr>
          <w:trHeight w:val="300"/>
        </w:trPr>
        <w:tc>
          <w:tcPr>
            <w:tcW w:w="1885" w:type="dxa"/>
            <w:shd w:val="clear" w:color="auto" w:fill="EEF3F8"/>
            <w:hideMark/>
          </w:tcPr>
          <w:p w14:paraId="6AAB8521"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511F35DA" w14:textId="77777777" w:rsidR="00C54BE9" w:rsidRPr="00C54BE9" w:rsidRDefault="00C54BE9" w:rsidP="00C54BE9">
            <w:pPr>
              <w:spacing w:after="0" w:line="240" w:lineRule="auto"/>
              <w:jc w:val="left"/>
            </w:pPr>
            <w:r w:rsidRPr="00C54BE9">
              <w:t>Newsletter: 2022 Facilities Booklet</w:t>
            </w:r>
          </w:p>
        </w:tc>
        <w:tc>
          <w:tcPr>
            <w:tcW w:w="1620" w:type="dxa"/>
            <w:shd w:val="clear" w:color="auto" w:fill="EEF3F8"/>
            <w:noWrap/>
            <w:hideMark/>
          </w:tcPr>
          <w:p w14:paraId="3561D77E" w14:textId="77777777" w:rsidR="00C54BE9" w:rsidRPr="00C54BE9" w:rsidRDefault="00C54BE9" w:rsidP="00C54BE9">
            <w:pPr>
              <w:spacing w:after="0" w:line="240" w:lineRule="auto"/>
              <w:jc w:val="left"/>
            </w:pPr>
            <w:r w:rsidRPr="00C54BE9">
              <w:t>PR.3</w:t>
            </w:r>
          </w:p>
        </w:tc>
        <w:tc>
          <w:tcPr>
            <w:tcW w:w="1440" w:type="dxa"/>
            <w:shd w:val="clear" w:color="auto" w:fill="EEF3F8"/>
            <w:noWrap/>
            <w:hideMark/>
          </w:tcPr>
          <w:p w14:paraId="0594DAD0"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3A9B0F77"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69AD2105" w14:textId="77777777" w:rsidR="00C54BE9" w:rsidRPr="00C54BE9" w:rsidRDefault="00C54BE9" w:rsidP="00C54BE9">
            <w:pPr>
              <w:spacing w:after="0" w:line="240" w:lineRule="auto"/>
              <w:jc w:val="left"/>
            </w:pPr>
            <w:r w:rsidRPr="00C54BE9">
              <w:t> </w:t>
            </w:r>
          </w:p>
        </w:tc>
      </w:tr>
      <w:tr w:rsidR="00C54BE9" w:rsidRPr="00C54BE9" w14:paraId="29D9D0BA" w14:textId="77777777" w:rsidTr="004812EF">
        <w:trPr>
          <w:trHeight w:val="300"/>
        </w:trPr>
        <w:tc>
          <w:tcPr>
            <w:tcW w:w="1885" w:type="dxa"/>
            <w:shd w:val="clear" w:color="auto" w:fill="EEF3F8"/>
            <w:hideMark/>
          </w:tcPr>
          <w:p w14:paraId="5E7FCC89"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67D6931C" w14:textId="77777777" w:rsidR="00C54BE9" w:rsidRPr="00C54BE9" w:rsidRDefault="00C54BE9" w:rsidP="00C54BE9">
            <w:pPr>
              <w:spacing w:after="0" w:line="240" w:lineRule="auto"/>
              <w:jc w:val="left"/>
            </w:pPr>
            <w:r w:rsidRPr="00C54BE9">
              <w:t>Reports: Facilities NSF reports</w:t>
            </w:r>
          </w:p>
        </w:tc>
        <w:tc>
          <w:tcPr>
            <w:tcW w:w="1620" w:type="dxa"/>
            <w:shd w:val="clear" w:color="auto" w:fill="EEF3F8"/>
            <w:noWrap/>
            <w:hideMark/>
          </w:tcPr>
          <w:p w14:paraId="2DD6963B" w14:textId="77777777" w:rsidR="00C54BE9" w:rsidRPr="00C54BE9" w:rsidRDefault="00C54BE9" w:rsidP="00C54BE9">
            <w:pPr>
              <w:spacing w:after="0" w:line="240" w:lineRule="auto"/>
              <w:jc w:val="left"/>
            </w:pPr>
            <w:r w:rsidRPr="00C54BE9">
              <w:t>B.3</w:t>
            </w:r>
          </w:p>
        </w:tc>
        <w:tc>
          <w:tcPr>
            <w:tcW w:w="1440" w:type="dxa"/>
            <w:shd w:val="clear" w:color="auto" w:fill="EEF3F8"/>
            <w:noWrap/>
            <w:hideMark/>
          </w:tcPr>
          <w:p w14:paraId="1C4E0EFB"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9A179D6"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42CC11F6" w14:textId="77777777" w:rsidR="00C54BE9" w:rsidRPr="00C54BE9" w:rsidRDefault="00C54BE9" w:rsidP="00C54BE9">
            <w:pPr>
              <w:spacing w:after="0" w:line="240" w:lineRule="auto"/>
              <w:jc w:val="left"/>
            </w:pPr>
            <w:r w:rsidRPr="00C54BE9">
              <w:t> </w:t>
            </w:r>
          </w:p>
        </w:tc>
      </w:tr>
      <w:tr w:rsidR="00C54BE9" w:rsidRPr="00C54BE9" w14:paraId="61D0A0BF" w14:textId="77777777" w:rsidTr="004812EF">
        <w:trPr>
          <w:trHeight w:val="300"/>
        </w:trPr>
        <w:tc>
          <w:tcPr>
            <w:tcW w:w="1885" w:type="dxa"/>
            <w:shd w:val="clear" w:color="auto" w:fill="EEF3F8"/>
            <w:hideMark/>
          </w:tcPr>
          <w:p w14:paraId="2429388D"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5C6B4FEA" w14:textId="77777777" w:rsidR="00C54BE9" w:rsidRPr="00C54BE9" w:rsidRDefault="00C54BE9" w:rsidP="00C54BE9">
            <w:pPr>
              <w:spacing w:after="0" w:line="240" w:lineRule="auto"/>
              <w:jc w:val="left"/>
            </w:pPr>
            <w:r w:rsidRPr="00C54BE9">
              <w:t>Reports: Vehicle (FAST) NSF reports</w:t>
            </w:r>
          </w:p>
        </w:tc>
        <w:tc>
          <w:tcPr>
            <w:tcW w:w="1620" w:type="dxa"/>
            <w:shd w:val="clear" w:color="auto" w:fill="EEF3F8"/>
            <w:noWrap/>
            <w:hideMark/>
          </w:tcPr>
          <w:p w14:paraId="1BE5A3EB"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53CE3507"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28D53266"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15FB3944" w14:textId="77777777" w:rsidR="00C54BE9" w:rsidRPr="00C54BE9" w:rsidRDefault="00C54BE9" w:rsidP="00C54BE9">
            <w:pPr>
              <w:spacing w:after="0" w:line="240" w:lineRule="auto"/>
              <w:jc w:val="left"/>
            </w:pPr>
            <w:r w:rsidRPr="00C54BE9">
              <w:t>P.10</w:t>
            </w:r>
          </w:p>
        </w:tc>
      </w:tr>
      <w:tr w:rsidR="00C54BE9" w:rsidRPr="00C54BE9" w14:paraId="51812990" w14:textId="77777777" w:rsidTr="004812EF">
        <w:trPr>
          <w:trHeight w:val="300"/>
        </w:trPr>
        <w:tc>
          <w:tcPr>
            <w:tcW w:w="1885" w:type="dxa"/>
            <w:shd w:val="clear" w:color="auto" w:fill="EEF3F8"/>
            <w:hideMark/>
          </w:tcPr>
          <w:p w14:paraId="1BB39E53"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54CD8EF2" w14:textId="77777777" w:rsidR="00C54BE9" w:rsidRPr="00C54BE9" w:rsidRDefault="00C54BE9" w:rsidP="00C54BE9">
            <w:pPr>
              <w:spacing w:after="0" w:line="240" w:lineRule="auto"/>
              <w:jc w:val="left"/>
            </w:pPr>
            <w:r w:rsidRPr="00C54BE9">
              <w:t>Reports: Energy NSF reports</w:t>
            </w:r>
          </w:p>
        </w:tc>
        <w:tc>
          <w:tcPr>
            <w:tcW w:w="1620" w:type="dxa"/>
            <w:shd w:val="clear" w:color="auto" w:fill="EEF3F8"/>
            <w:noWrap/>
            <w:hideMark/>
          </w:tcPr>
          <w:p w14:paraId="6CF1CDFA"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1377D786"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793F223"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01BD2D58" w14:textId="77777777" w:rsidR="00C54BE9" w:rsidRPr="00C54BE9" w:rsidRDefault="00C54BE9" w:rsidP="00C54BE9">
            <w:pPr>
              <w:spacing w:after="0" w:line="240" w:lineRule="auto"/>
              <w:jc w:val="left"/>
            </w:pPr>
            <w:r w:rsidRPr="00C54BE9">
              <w:t>P.11</w:t>
            </w:r>
          </w:p>
        </w:tc>
      </w:tr>
      <w:tr w:rsidR="00C54BE9" w:rsidRPr="00C54BE9" w14:paraId="55655469" w14:textId="77777777" w:rsidTr="004812EF">
        <w:trPr>
          <w:trHeight w:val="300"/>
        </w:trPr>
        <w:tc>
          <w:tcPr>
            <w:tcW w:w="1885" w:type="dxa"/>
            <w:shd w:val="clear" w:color="auto" w:fill="EEF3F8"/>
            <w:hideMark/>
          </w:tcPr>
          <w:p w14:paraId="632453AD" w14:textId="77777777" w:rsidR="00C54BE9" w:rsidRPr="00C54BE9" w:rsidRDefault="00C54BE9" w:rsidP="00C54BE9">
            <w:pPr>
              <w:spacing w:after="0" w:line="240" w:lineRule="auto"/>
              <w:jc w:val="left"/>
            </w:pPr>
            <w:r w:rsidRPr="00C54BE9">
              <w:lastRenderedPageBreak/>
              <w:t>Operations</w:t>
            </w:r>
          </w:p>
        </w:tc>
        <w:tc>
          <w:tcPr>
            <w:tcW w:w="4950" w:type="dxa"/>
            <w:shd w:val="clear" w:color="auto" w:fill="EEF3F8"/>
            <w:noWrap/>
            <w:hideMark/>
          </w:tcPr>
          <w:p w14:paraId="03AB06F1" w14:textId="77777777" w:rsidR="00C54BE9" w:rsidRPr="00C54BE9" w:rsidRDefault="00C54BE9" w:rsidP="00C54BE9">
            <w:pPr>
              <w:spacing w:after="0" w:line="240" w:lineRule="auto"/>
              <w:jc w:val="left"/>
            </w:pPr>
            <w:r w:rsidRPr="00C54BE9">
              <w:t>Reports: Master site plan</w:t>
            </w:r>
          </w:p>
        </w:tc>
        <w:tc>
          <w:tcPr>
            <w:tcW w:w="1620" w:type="dxa"/>
            <w:shd w:val="clear" w:color="auto" w:fill="EEF3F8"/>
            <w:noWrap/>
            <w:hideMark/>
          </w:tcPr>
          <w:p w14:paraId="5335FF07" w14:textId="77777777" w:rsidR="00C54BE9" w:rsidRPr="00C54BE9" w:rsidRDefault="00C54BE9" w:rsidP="00C54BE9">
            <w:pPr>
              <w:spacing w:after="0" w:line="240" w:lineRule="auto"/>
              <w:jc w:val="left"/>
            </w:pPr>
            <w:r w:rsidRPr="00C54BE9">
              <w:t>B.4</w:t>
            </w:r>
          </w:p>
        </w:tc>
        <w:tc>
          <w:tcPr>
            <w:tcW w:w="1440" w:type="dxa"/>
            <w:shd w:val="clear" w:color="auto" w:fill="EEF3F8"/>
            <w:noWrap/>
            <w:hideMark/>
          </w:tcPr>
          <w:p w14:paraId="59858137"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1BAF45E"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2C3DAEBD" w14:textId="77777777" w:rsidR="00C54BE9" w:rsidRPr="00C54BE9" w:rsidRDefault="00C54BE9" w:rsidP="00C54BE9">
            <w:pPr>
              <w:spacing w:after="0" w:line="240" w:lineRule="auto"/>
              <w:jc w:val="left"/>
            </w:pPr>
            <w:r w:rsidRPr="00C54BE9">
              <w:t> </w:t>
            </w:r>
          </w:p>
        </w:tc>
      </w:tr>
      <w:tr w:rsidR="00C54BE9" w:rsidRPr="00C54BE9" w14:paraId="336A2E41" w14:textId="77777777" w:rsidTr="004812EF">
        <w:trPr>
          <w:trHeight w:val="300"/>
        </w:trPr>
        <w:tc>
          <w:tcPr>
            <w:tcW w:w="1885" w:type="dxa"/>
            <w:shd w:val="clear" w:color="auto" w:fill="EEF3F8"/>
            <w:hideMark/>
          </w:tcPr>
          <w:p w14:paraId="2B64327D"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3DF19FEE" w14:textId="77777777" w:rsidR="00C54BE9" w:rsidRPr="00C54BE9" w:rsidRDefault="00C54BE9" w:rsidP="00C54BE9">
            <w:pPr>
              <w:spacing w:after="0" w:line="240" w:lineRule="auto"/>
              <w:jc w:val="left"/>
            </w:pPr>
            <w:r w:rsidRPr="00C54BE9">
              <w:t>Reports: Inventory NSF Reports</w:t>
            </w:r>
          </w:p>
        </w:tc>
        <w:tc>
          <w:tcPr>
            <w:tcW w:w="1620" w:type="dxa"/>
            <w:shd w:val="clear" w:color="auto" w:fill="EEF3F8"/>
            <w:noWrap/>
            <w:hideMark/>
          </w:tcPr>
          <w:p w14:paraId="799141FA"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549D0FD3"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2875032C" w14:textId="77777777" w:rsidR="00C54BE9" w:rsidRPr="00C54BE9" w:rsidRDefault="00C54BE9" w:rsidP="00C54BE9">
            <w:pPr>
              <w:spacing w:after="0" w:line="240" w:lineRule="auto"/>
              <w:jc w:val="left"/>
            </w:pPr>
            <w:r w:rsidRPr="00C54BE9">
              <w:t>B.5</w:t>
            </w:r>
          </w:p>
        </w:tc>
        <w:tc>
          <w:tcPr>
            <w:tcW w:w="1400" w:type="dxa"/>
            <w:shd w:val="clear" w:color="auto" w:fill="EEF3F8"/>
            <w:noWrap/>
            <w:hideMark/>
          </w:tcPr>
          <w:p w14:paraId="2C076994" w14:textId="77777777" w:rsidR="00C54BE9" w:rsidRPr="00C54BE9" w:rsidRDefault="00C54BE9" w:rsidP="00C54BE9">
            <w:pPr>
              <w:spacing w:after="0" w:line="240" w:lineRule="auto"/>
              <w:jc w:val="left"/>
            </w:pPr>
            <w:r w:rsidRPr="00C54BE9">
              <w:t> </w:t>
            </w:r>
          </w:p>
        </w:tc>
      </w:tr>
      <w:tr w:rsidR="00C54BE9" w:rsidRPr="00C54BE9" w14:paraId="6942876D" w14:textId="77777777" w:rsidTr="004812EF">
        <w:trPr>
          <w:trHeight w:val="300"/>
        </w:trPr>
        <w:tc>
          <w:tcPr>
            <w:tcW w:w="1885" w:type="dxa"/>
            <w:shd w:val="clear" w:color="auto" w:fill="EEF3F8"/>
            <w:hideMark/>
          </w:tcPr>
          <w:p w14:paraId="0B7D4524"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5FD21B2B" w14:textId="77777777" w:rsidR="00C54BE9" w:rsidRPr="00C54BE9" w:rsidRDefault="00C54BE9" w:rsidP="00C54BE9">
            <w:pPr>
              <w:spacing w:after="0" w:line="240" w:lineRule="auto"/>
              <w:jc w:val="left"/>
            </w:pPr>
            <w:r w:rsidRPr="00C54BE9">
              <w:t>Reviews: GBO Advisory Council Meetings</w:t>
            </w:r>
          </w:p>
        </w:tc>
        <w:tc>
          <w:tcPr>
            <w:tcW w:w="1620" w:type="dxa"/>
            <w:shd w:val="clear" w:color="auto" w:fill="EEF3F8"/>
            <w:noWrap/>
            <w:hideMark/>
          </w:tcPr>
          <w:p w14:paraId="1A691717" w14:textId="77777777" w:rsidR="00C54BE9" w:rsidRPr="00C54BE9" w:rsidRDefault="00C54BE9" w:rsidP="00C54BE9">
            <w:pPr>
              <w:spacing w:after="0" w:line="240" w:lineRule="auto"/>
              <w:jc w:val="left"/>
            </w:pPr>
            <w:r w:rsidRPr="00C54BE9">
              <w:t>A.1</w:t>
            </w:r>
          </w:p>
        </w:tc>
        <w:tc>
          <w:tcPr>
            <w:tcW w:w="1440" w:type="dxa"/>
            <w:shd w:val="clear" w:color="auto" w:fill="EEF3F8"/>
            <w:noWrap/>
            <w:hideMark/>
          </w:tcPr>
          <w:p w14:paraId="4CA7985C"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548CD471" w14:textId="77777777" w:rsidR="00C54BE9" w:rsidRPr="00C54BE9" w:rsidRDefault="00C54BE9" w:rsidP="00C54BE9">
            <w:pPr>
              <w:spacing w:after="0" w:line="240" w:lineRule="auto"/>
              <w:jc w:val="left"/>
            </w:pPr>
            <w:r w:rsidRPr="00C54BE9">
              <w:t>A.1</w:t>
            </w:r>
          </w:p>
        </w:tc>
        <w:tc>
          <w:tcPr>
            <w:tcW w:w="1400" w:type="dxa"/>
            <w:shd w:val="clear" w:color="auto" w:fill="EEF3F8"/>
            <w:noWrap/>
            <w:hideMark/>
          </w:tcPr>
          <w:p w14:paraId="39BED6C8" w14:textId="77777777" w:rsidR="00C54BE9" w:rsidRPr="00C54BE9" w:rsidRDefault="00C54BE9" w:rsidP="00C54BE9">
            <w:pPr>
              <w:spacing w:after="0" w:line="240" w:lineRule="auto"/>
              <w:jc w:val="left"/>
            </w:pPr>
            <w:r w:rsidRPr="00C54BE9">
              <w:t> </w:t>
            </w:r>
          </w:p>
        </w:tc>
      </w:tr>
      <w:tr w:rsidR="00C54BE9" w:rsidRPr="00C54BE9" w14:paraId="23175D13" w14:textId="77777777" w:rsidTr="004812EF">
        <w:trPr>
          <w:trHeight w:val="300"/>
        </w:trPr>
        <w:tc>
          <w:tcPr>
            <w:tcW w:w="1885" w:type="dxa"/>
            <w:shd w:val="clear" w:color="auto" w:fill="EEF3F8"/>
            <w:hideMark/>
          </w:tcPr>
          <w:p w14:paraId="38525975"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4A3EB6D1" w14:textId="77777777" w:rsidR="00C54BE9" w:rsidRPr="00C54BE9" w:rsidRDefault="00C54BE9" w:rsidP="00C54BE9">
            <w:pPr>
              <w:spacing w:after="0" w:line="240" w:lineRule="auto"/>
              <w:jc w:val="left"/>
            </w:pPr>
            <w:r w:rsidRPr="00C54BE9">
              <w:t>Reviews: AUI/GBO Visiting Committee meeting</w:t>
            </w:r>
          </w:p>
        </w:tc>
        <w:tc>
          <w:tcPr>
            <w:tcW w:w="1620" w:type="dxa"/>
            <w:shd w:val="clear" w:color="auto" w:fill="EEF3F8"/>
            <w:noWrap/>
            <w:hideMark/>
          </w:tcPr>
          <w:p w14:paraId="62F85D8B"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6D2993BB" w14:textId="77777777" w:rsidR="00C54BE9" w:rsidRPr="00C54BE9" w:rsidRDefault="00C54BE9" w:rsidP="00C54BE9">
            <w:pPr>
              <w:spacing w:after="0" w:line="240" w:lineRule="auto"/>
              <w:jc w:val="left"/>
            </w:pPr>
            <w:r w:rsidRPr="00C54BE9">
              <w:t>A.2</w:t>
            </w:r>
          </w:p>
        </w:tc>
        <w:tc>
          <w:tcPr>
            <w:tcW w:w="1440" w:type="dxa"/>
            <w:shd w:val="clear" w:color="auto" w:fill="EEF3F8"/>
            <w:noWrap/>
            <w:hideMark/>
          </w:tcPr>
          <w:p w14:paraId="6F155EE6"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21E68209" w14:textId="77777777" w:rsidR="00C54BE9" w:rsidRPr="00C54BE9" w:rsidRDefault="00C54BE9" w:rsidP="00C54BE9">
            <w:pPr>
              <w:spacing w:after="0" w:line="240" w:lineRule="auto"/>
              <w:jc w:val="left"/>
            </w:pPr>
            <w:r w:rsidRPr="00C54BE9">
              <w:t> </w:t>
            </w:r>
          </w:p>
        </w:tc>
      </w:tr>
      <w:tr w:rsidR="00C54BE9" w:rsidRPr="00C54BE9" w14:paraId="470B974E" w14:textId="77777777" w:rsidTr="004812EF">
        <w:trPr>
          <w:trHeight w:val="300"/>
        </w:trPr>
        <w:tc>
          <w:tcPr>
            <w:tcW w:w="1885" w:type="dxa"/>
            <w:shd w:val="clear" w:color="auto" w:fill="EEF3F8"/>
            <w:hideMark/>
          </w:tcPr>
          <w:p w14:paraId="525A7885"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73CE5F41" w14:textId="77777777" w:rsidR="00C54BE9" w:rsidRPr="00C54BE9" w:rsidRDefault="00C54BE9" w:rsidP="00C54BE9">
            <w:pPr>
              <w:spacing w:after="0" w:line="240" w:lineRule="auto"/>
              <w:jc w:val="left"/>
            </w:pPr>
            <w:r w:rsidRPr="00C54BE9">
              <w:t>Reviews: NRAO/GBO User’s Committee meeting</w:t>
            </w:r>
          </w:p>
        </w:tc>
        <w:tc>
          <w:tcPr>
            <w:tcW w:w="1620" w:type="dxa"/>
            <w:shd w:val="clear" w:color="auto" w:fill="EEF3F8"/>
            <w:noWrap/>
            <w:hideMark/>
          </w:tcPr>
          <w:p w14:paraId="4F2931C1"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A669DBD"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4DBE59B0" w14:textId="77777777" w:rsidR="00C54BE9" w:rsidRPr="00C54BE9" w:rsidRDefault="00C54BE9" w:rsidP="00C54BE9">
            <w:pPr>
              <w:spacing w:after="0" w:line="240" w:lineRule="auto"/>
              <w:jc w:val="left"/>
            </w:pPr>
            <w:r w:rsidRPr="00C54BE9">
              <w:t>A.3</w:t>
            </w:r>
          </w:p>
        </w:tc>
        <w:tc>
          <w:tcPr>
            <w:tcW w:w="1400" w:type="dxa"/>
            <w:shd w:val="clear" w:color="auto" w:fill="EEF3F8"/>
            <w:noWrap/>
            <w:hideMark/>
          </w:tcPr>
          <w:p w14:paraId="1A83A2DC" w14:textId="77777777" w:rsidR="00C54BE9" w:rsidRPr="00C54BE9" w:rsidRDefault="00C54BE9" w:rsidP="00C54BE9">
            <w:pPr>
              <w:spacing w:after="0" w:line="240" w:lineRule="auto"/>
              <w:jc w:val="left"/>
            </w:pPr>
            <w:r w:rsidRPr="00C54BE9">
              <w:t> </w:t>
            </w:r>
          </w:p>
        </w:tc>
      </w:tr>
      <w:tr w:rsidR="00C54BE9" w:rsidRPr="00C54BE9" w14:paraId="58AF0965" w14:textId="77777777" w:rsidTr="004812EF">
        <w:trPr>
          <w:trHeight w:val="300"/>
        </w:trPr>
        <w:tc>
          <w:tcPr>
            <w:tcW w:w="1885" w:type="dxa"/>
            <w:shd w:val="clear" w:color="auto" w:fill="EEF3F8"/>
            <w:hideMark/>
          </w:tcPr>
          <w:p w14:paraId="22B86CD2"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183373D5" w14:textId="77777777" w:rsidR="00C54BE9" w:rsidRPr="00C54BE9" w:rsidRDefault="00C54BE9" w:rsidP="00C54BE9">
            <w:pPr>
              <w:spacing w:after="0" w:line="240" w:lineRule="auto"/>
              <w:jc w:val="left"/>
            </w:pPr>
            <w:r w:rsidRPr="00C54BE9">
              <w:t>Review SLAs with NRAO</w:t>
            </w:r>
          </w:p>
        </w:tc>
        <w:tc>
          <w:tcPr>
            <w:tcW w:w="1620" w:type="dxa"/>
            <w:shd w:val="clear" w:color="auto" w:fill="EEF3F8"/>
            <w:noWrap/>
            <w:hideMark/>
          </w:tcPr>
          <w:p w14:paraId="08EF670F"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63515229" w14:textId="77777777" w:rsidR="00C54BE9" w:rsidRPr="00C54BE9" w:rsidRDefault="00C54BE9" w:rsidP="00C54BE9">
            <w:pPr>
              <w:spacing w:after="0" w:line="240" w:lineRule="auto"/>
              <w:jc w:val="left"/>
            </w:pPr>
            <w:r w:rsidRPr="00C54BE9">
              <w:t>A.4</w:t>
            </w:r>
          </w:p>
        </w:tc>
        <w:tc>
          <w:tcPr>
            <w:tcW w:w="1440" w:type="dxa"/>
            <w:shd w:val="clear" w:color="auto" w:fill="EEF3F8"/>
            <w:noWrap/>
            <w:hideMark/>
          </w:tcPr>
          <w:p w14:paraId="41C9D313"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76B3541E" w14:textId="77777777" w:rsidR="00C54BE9" w:rsidRPr="00C54BE9" w:rsidRDefault="00C54BE9" w:rsidP="00C54BE9">
            <w:pPr>
              <w:spacing w:after="0" w:line="240" w:lineRule="auto"/>
              <w:jc w:val="left"/>
            </w:pPr>
            <w:r w:rsidRPr="00C54BE9">
              <w:t> </w:t>
            </w:r>
          </w:p>
        </w:tc>
      </w:tr>
      <w:tr w:rsidR="00C54BE9" w:rsidRPr="00C54BE9" w14:paraId="757A094F" w14:textId="77777777" w:rsidTr="004812EF">
        <w:trPr>
          <w:trHeight w:val="300"/>
        </w:trPr>
        <w:tc>
          <w:tcPr>
            <w:tcW w:w="1885" w:type="dxa"/>
            <w:shd w:val="clear" w:color="auto" w:fill="EEF3F8"/>
            <w:hideMark/>
          </w:tcPr>
          <w:p w14:paraId="4E084354"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2E0BCCFA" w14:textId="77777777" w:rsidR="00C54BE9" w:rsidRPr="00C54BE9" w:rsidRDefault="00C54BE9" w:rsidP="00C54BE9">
            <w:pPr>
              <w:spacing w:after="0" w:line="240" w:lineRule="auto"/>
              <w:jc w:val="left"/>
            </w:pPr>
            <w:r w:rsidRPr="00C54BE9">
              <w:t>Safety: Annual fire systems inspection</w:t>
            </w:r>
          </w:p>
        </w:tc>
        <w:tc>
          <w:tcPr>
            <w:tcW w:w="1620" w:type="dxa"/>
            <w:shd w:val="clear" w:color="auto" w:fill="EEF3F8"/>
            <w:noWrap/>
            <w:hideMark/>
          </w:tcPr>
          <w:p w14:paraId="15C35609" w14:textId="77777777" w:rsidR="00C54BE9" w:rsidRPr="00C54BE9" w:rsidRDefault="00C54BE9" w:rsidP="00C54BE9">
            <w:pPr>
              <w:spacing w:after="0" w:line="240" w:lineRule="auto"/>
              <w:jc w:val="left"/>
            </w:pPr>
            <w:r w:rsidRPr="00C54BE9">
              <w:t>P.1</w:t>
            </w:r>
          </w:p>
        </w:tc>
        <w:tc>
          <w:tcPr>
            <w:tcW w:w="1440" w:type="dxa"/>
            <w:shd w:val="clear" w:color="auto" w:fill="EEF3F8"/>
            <w:noWrap/>
            <w:hideMark/>
          </w:tcPr>
          <w:p w14:paraId="01C84820"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B83B795"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0726C5AC" w14:textId="77777777" w:rsidR="00C54BE9" w:rsidRPr="00C54BE9" w:rsidRDefault="00C54BE9" w:rsidP="00C54BE9">
            <w:pPr>
              <w:spacing w:after="0" w:line="240" w:lineRule="auto"/>
              <w:jc w:val="left"/>
            </w:pPr>
            <w:r w:rsidRPr="00C54BE9">
              <w:t> </w:t>
            </w:r>
          </w:p>
        </w:tc>
      </w:tr>
      <w:tr w:rsidR="00C54BE9" w:rsidRPr="00C54BE9" w14:paraId="13FC215B" w14:textId="77777777" w:rsidTr="004812EF">
        <w:trPr>
          <w:trHeight w:val="300"/>
        </w:trPr>
        <w:tc>
          <w:tcPr>
            <w:tcW w:w="1885" w:type="dxa"/>
            <w:shd w:val="clear" w:color="auto" w:fill="EEF3F8"/>
            <w:hideMark/>
          </w:tcPr>
          <w:p w14:paraId="65C413E2"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2E3BAC6E" w14:textId="77777777" w:rsidR="00C54BE9" w:rsidRPr="00C54BE9" w:rsidRDefault="00C54BE9" w:rsidP="00C54BE9">
            <w:pPr>
              <w:spacing w:after="0" w:line="240" w:lineRule="auto"/>
              <w:jc w:val="left"/>
            </w:pPr>
            <w:r w:rsidRPr="00C54BE9">
              <w:t>Oil Tank Replacement</w:t>
            </w:r>
          </w:p>
        </w:tc>
        <w:tc>
          <w:tcPr>
            <w:tcW w:w="1620" w:type="dxa"/>
            <w:shd w:val="clear" w:color="auto" w:fill="EEF3F8"/>
            <w:noWrap/>
            <w:hideMark/>
          </w:tcPr>
          <w:p w14:paraId="4252BDF2" w14:textId="77777777" w:rsidR="00C54BE9" w:rsidRPr="00C54BE9" w:rsidRDefault="00C54BE9" w:rsidP="00C54BE9">
            <w:pPr>
              <w:spacing w:after="0" w:line="240" w:lineRule="auto"/>
              <w:jc w:val="left"/>
            </w:pPr>
            <w:r w:rsidRPr="00C54BE9">
              <w:t>P.2</w:t>
            </w:r>
          </w:p>
        </w:tc>
        <w:tc>
          <w:tcPr>
            <w:tcW w:w="1440" w:type="dxa"/>
            <w:shd w:val="clear" w:color="auto" w:fill="EEF3F8"/>
            <w:noWrap/>
            <w:hideMark/>
          </w:tcPr>
          <w:p w14:paraId="7B4DB96A"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6FCF02CD"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73AB76DE" w14:textId="77777777" w:rsidR="00C54BE9" w:rsidRPr="00C54BE9" w:rsidRDefault="00C54BE9" w:rsidP="00C54BE9">
            <w:pPr>
              <w:spacing w:after="0" w:line="240" w:lineRule="auto"/>
              <w:jc w:val="left"/>
            </w:pPr>
            <w:r w:rsidRPr="00C54BE9">
              <w:t> </w:t>
            </w:r>
          </w:p>
        </w:tc>
      </w:tr>
      <w:tr w:rsidR="00C54BE9" w:rsidRPr="00C54BE9" w14:paraId="413B8D22" w14:textId="77777777" w:rsidTr="004812EF">
        <w:trPr>
          <w:trHeight w:val="300"/>
        </w:trPr>
        <w:tc>
          <w:tcPr>
            <w:tcW w:w="1885" w:type="dxa"/>
            <w:shd w:val="clear" w:color="auto" w:fill="EEF3F8"/>
            <w:hideMark/>
          </w:tcPr>
          <w:p w14:paraId="4A985987"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51AF7618" w14:textId="77777777" w:rsidR="00C54BE9" w:rsidRPr="00C54BE9" w:rsidRDefault="00C54BE9" w:rsidP="00C54BE9">
            <w:pPr>
              <w:spacing w:after="0" w:line="240" w:lineRule="auto"/>
              <w:jc w:val="left"/>
            </w:pPr>
            <w:r w:rsidRPr="00C54BE9">
              <w:t>Works area transformer replacement</w:t>
            </w:r>
          </w:p>
        </w:tc>
        <w:tc>
          <w:tcPr>
            <w:tcW w:w="1620" w:type="dxa"/>
            <w:shd w:val="clear" w:color="auto" w:fill="EEF3F8"/>
            <w:noWrap/>
            <w:hideMark/>
          </w:tcPr>
          <w:p w14:paraId="53525FB1"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1A2DF580"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02FEE10"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79CCCF59" w14:textId="77777777" w:rsidR="00C54BE9" w:rsidRPr="00C54BE9" w:rsidRDefault="00C54BE9" w:rsidP="00C54BE9">
            <w:pPr>
              <w:spacing w:after="0" w:line="240" w:lineRule="auto"/>
              <w:jc w:val="left"/>
            </w:pPr>
            <w:r w:rsidRPr="00C54BE9">
              <w:t>P.3</w:t>
            </w:r>
          </w:p>
        </w:tc>
      </w:tr>
      <w:tr w:rsidR="00C54BE9" w:rsidRPr="00C54BE9" w14:paraId="485BA333" w14:textId="77777777" w:rsidTr="004812EF">
        <w:trPr>
          <w:trHeight w:val="300"/>
        </w:trPr>
        <w:tc>
          <w:tcPr>
            <w:tcW w:w="1885" w:type="dxa"/>
            <w:shd w:val="clear" w:color="auto" w:fill="EEF3F8"/>
            <w:hideMark/>
          </w:tcPr>
          <w:p w14:paraId="24A21850"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798B690F" w14:textId="77777777" w:rsidR="00C54BE9" w:rsidRPr="00C54BE9" w:rsidRDefault="00C54BE9" w:rsidP="00C54BE9">
            <w:pPr>
              <w:spacing w:after="0" w:line="240" w:lineRule="auto"/>
              <w:jc w:val="left"/>
            </w:pPr>
            <w:r w:rsidRPr="00C54BE9">
              <w:t>Jansky Lab generator load study</w:t>
            </w:r>
          </w:p>
        </w:tc>
        <w:tc>
          <w:tcPr>
            <w:tcW w:w="1620" w:type="dxa"/>
            <w:shd w:val="clear" w:color="auto" w:fill="EEF3F8"/>
            <w:noWrap/>
            <w:hideMark/>
          </w:tcPr>
          <w:p w14:paraId="744A66E6"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655A6888"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586927A9"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55235AB5" w14:textId="77777777" w:rsidR="00C54BE9" w:rsidRPr="00C54BE9" w:rsidRDefault="00C54BE9" w:rsidP="00C54BE9">
            <w:pPr>
              <w:spacing w:after="0" w:line="240" w:lineRule="auto"/>
              <w:jc w:val="left"/>
            </w:pPr>
            <w:r w:rsidRPr="00C54BE9">
              <w:t>P.4</w:t>
            </w:r>
          </w:p>
        </w:tc>
      </w:tr>
      <w:tr w:rsidR="00C54BE9" w:rsidRPr="00C54BE9" w14:paraId="672E58DB" w14:textId="77777777" w:rsidTr="004812EF">
        <w:trPr>
          <w:trHeight w:val="300"/>
        </w:trPr>
        <w:tc>
          <w:tcPr>
            <w:tcW w:w="1885" w:type="dxa"/>
            <w:shd w:val="clear" w:color="auto" w:fill="EEF3F8"/>
            <w:hideMark/>
          </w:tcPr>
          <w:p w14:paraId="7E90C65F"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13172B77" w14:textId="77777777" w:rsidR="00C54BE9" w:rsidRPr="00C54BE9" w:rsidRDefault="00C54BE9" w:rsidP="00C54BE9">
            <w:pPr>
              <w:spacing w:after="0" w:line="240" w:lineRule="auto"/>
              <w:jc w:val="left"/>
            </w:pPr>
            <w:r w:rsidRPr="00C54BE9">
              <w:t>Residence Hall Electrical Upgrade</w:t>
            </w:r>
          </w:p>
        </w:tc>
        <w:tc>
          <w:tcPr>
            <w:tcW w:w="1620" w:type="dxa"/>
            <w:shd w:val="clear" w:color="auto" w:fill="EEF3F8"/>
            <w:noWrap/>
            <w:hideMark/>
          </w:tcPr>
          <w:p w14:paraId="7AEB3EEE"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2DDA3456"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27169518" w14:textId="77777777" w:rsidR="00C54BE9" w:rsidRPr="00C54BE9" w:rsidRDefault="00C54BE9" w:rsidP="00C54BE9">
            <w:pPr>
              <w:spacing w:after="0" w:line="240" w:lineRule="auto"/>
              <w:jc w:val="left"/>
            </w:pPr>
            <w:r w:rsidRPr="00C54BE9">
              <w:t>P.5</w:t>
            </w:r>
          </w:p>
        </w:tc>
        <w:tc>
          <w:tcPr>
            <w:tcW w:w="1400" w:type="dxa"/>
            <w:shd w:val="clear" w:color="auto" w:fill="EEF3F8"/>
            <w:noWrap/>
            <w:hideMark/>
          </w:tcPr>
          <w:p w14:paraId="286288FF" w14:textId="77777777" w:rsidR="00C54BE9" w:rsidRPr="00C54BE9" w:rsidRDefault="00C54BE9" w:rsidP="00C54BE9">
            <w:pPr>
              <w:spacing w:after="0" w:line="240" w:lineRule="auto"/>
              <w:jc w:val="left"/>
            </w:pPr>
            <w:r w:rsidRPr="00C54BE9">
              <w:t> </w:t>
            </w:r>
          </w:p>
        </w:tc>
      </w:tr>
      <w:tr w:rsidR="00C54BE9" w:rsidRPr="00C54BE9" w14:paraId="39B77F3C" w14:textId="77777777" w:rsidTr="004812EF">
        <w:trPr>
          <w:trHeight w:val="300"/>
        </w:trPr>
        <w:tc>
          <w:tcPr>
            <w:tcW w:w="1885" w:type="dxa"/>
            <w:shd w:val="clear" w:color="auto" w:fill="EEF3F8"/>
            <w:hideMark/>
          </w:tcPr>
          <w:p w14:paraId="7813A891"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2536A8CE" w14:textId="77777777" w:rsidR="00C54BE9" w:rsidRPr="00C54BE9" w:rsidRDefault="00C54BE9" w:rsidP="00C54BE9">
            <w:pPr>
              <w:spacing w:after="0" w:line="240" w:lineRule="auto"/>
              <w:jc w:val="left"/>
            </w:pPr>
            <w:r w:rsidRPr="00C54BE9">
              <w:t>New power feeder upgrade</w:t>
            </w:r>
          </w:p>
        </w:tc>
        <w:tc>
          <w:tcPr>
            <w:tcW w:w="1620" w:type="dxa"/>
            <w:shd w:val="clear" w:color="auto" w:fill="EEF3F8"/>
            <w:noWrap/>
            <w:hideMark/>
          </w:tcPr>
          <w:p w14:paraId="3CF6B07E"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5EDD9A74"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67B3552" w14:textId="77777777" w:rsidR="00C54BE9" w:rsidRPr="00C54BE9" w:rsidRDefault="00C54BE9" w:rsidP="00C54BE9">
            <w:pPr>
              <w:spacing w:after="0" w:line="240" w:lineRule="auto"/>
              <w:jc w:val="left"/>
            </w:pPr>
            <w:r w:rsidRPr="00C54BE9">
              <w:t>P.6</w:t>
            </w:r>
          </w:p>
        </w:tc>
        <w:tc>
          <w:tcPr>
            <w:tcW w:w="1400" w:type="dxa"/>
            <w:shd w:val="clear" w:color="auto" w:fill="EEF3F8"/>
            <w:noWrap/>
            <w:hideMark/>
          </w:tcPr>
          <w:p w14:paraId="6FB97B2E" w14:textId="77777777" w:rsidR="00C54BE9" w:rsidRPr="00C54BE9" w:rsidRDefault="00C54BE9" w:rsidP="00C54BE9">
            <w:pPr>
              <w:spacing w:after="0" w:line="240" w:lineRule="auto"/>
              <w:jc w:val="left"/>
            </w:pPr>
            <w:r w:rsidRPr="00C54BE9">
              <w:t> </w:t>
            </w:r>
          </w:p>
        </w:tc>
      </w:tr>
      <w:tr w:rsidR="00C54BE9" w:rsidRPr="00C54BE9" w14:paraId="39D2D6FB" w14:textId="77777777" w:rsidTr="004812EF">
        <w:trPr>
          <w:trHeight w:val="300"/>
        </w:trPr>
        <w:tc>
          <w:tcPr>
            <w:tcW w:w="1885" w:type="dxa"/>
            <w:shd w:val="clear" w:color="auto" w:fill="EEF3F8"/>
            <w:hideMark/>
          </w:tcPr>
          <w:p w14:paraId="4F98ED73"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38DA27A6" w14:textId="77777777" w:rsidR="00C54BE9" w:rsidRPr="00C54BE9" w:rsidRDefault="00C54BE9" w:rsidP="00C54BE9">
            <w:pPr>
              <w:spacing w:after="0" w:line="240" w:lineRule="auto"/>
              <w:jc w:val="left"/>
            </w:pPr>
            <w:r w:rsidRPr="00C54BE9">
              <w:t>ICB Transformer and Service Replacement</w:t>
            </w:r>
          </w:p>
        </w:tc>
        <w:tc>
          <w:tcPr>
            <w:tcW w:w="1620" w:type="dxa"/>
            <w:shd w:val="clear" w:color="auto" w:fill="EEF3F8"/>
            <w:noWrap/>
            <w:hideMark/>
          </w:tcPr>
          <w:p w14:paraId="242FE119"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5BDB5518"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085C71D5"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5D87B25F" w14:textId="77777777" w:rsidR="00C54BE9" w:rsidRPr="00C54BE9" w:rsidRDefault="00C54BE9" w:rsidP="00C54BE9">
            <w:pPr>
              <w:spacing w:after="0" w:line="240" w:lineRule="auto"/>
              <w:jc w:val="left"/>
            </w:pPr>
            <w:r w:rsidRPr="00C54BE9">
              <w:t>P.7</w:t>
            </w:r>
          </w:p>
        </w:tc>
      </w:tr>
      <w:tr w:rsidR="00C54BE9" w:rsidRPr="00C54BE9" w14:paraId="4513B991" w14:textId="77777777" w:rsidTr="004812EF">
        <w:trPr>
          <w:trHeight w:val="300"/>
        </w:trPr>
        <w:tc>
          <w:tcPr>
            <w:tcW w:w="1885" w:type="dxa"/>
            <w:shd w:val="clear" w:color="auto" w:fill="EEF3F8"/>
            <w:hideMark/>
          </w:tcPr>
          <w:p w14:paraId="688E274F"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3086F085" w14:textId="77777777" w:rsidR="00C54BE9" w:rsidRPr="00C54BE9" w:rsidRDefault="00C54BE9" w:rsidP="00C54BE9">
            <w:pPr>
              <w:spacing w:after="0" w:line="240" w:lineRule="auto"/>
              <w:jc w:val="left"/>
            </w:pPr>
            <w:r w:rsidRPr="00C54BE9">
              <w:t>New power feeds to GBT warehouse</w:t>
            </w:r>
          </w:p>
        </w:tc>
        <w:tc>
          <w:tcPr>
            <w:tcW w:w="1620" w:type="dxa"/>
            <w:shd w:val="clear" w:color="auto" w:fill="EEF3F8"/>
            <w:noWrap/>
            <w:hideMark/>
          </w:tcPr>
          <w:p w14:paraId="43C5EA98"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1AC59F9D"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2A890E12"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66ED9FAE" w14:textId="77777777" w:rsidR="00C54BE9" w:rsidRPr="00C54BE9" w:rsidRDefault="00C54BE9" w:rsidP="00C54BE9">
            <w:pPr>
              <w:spacing w:after="0" w:line="240" w:lineRule="auto"/>
              <w:jc w:val="left"/>
            </w:pPr>
            <w:r w:rsidRPr="00C54BE9">
              <w:t>P.8</w:t>
            </w:r>
          </w:p>
        </w:tc>
      </w:tr>
      <w:tr w:rsidR="00C54BE9" w:rsidRPr="00C54BE9" w14:paraId="737A7AA6" w14:textId="77777777" w:rsidTr="004812EF">
        <w:trPr>
          <w:trHeight w:val="300"/>
        </w:trPr>
        <w:tc>
          <w:tcPr>
            <w:tcW w:w="1885" w:type="dxa"/>
            <w:shd w:val="clear" w:color="auto" w:fill="EEF3F8"/>
            <w:hideMark/>
          </w:tcPr>
          <w:p w14:paraId="20C2C3F9"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6AE4E831" w14:textId="77777777" w:rsidR="00C54BE9" w:rsidRPr="00C54BE9" w:rsidRDefault="00C54BE9" w:rsidP="00C54BE9">
            <w:pPr>
              <w:spacing w:after="0" w:line="240" w:lineRule="auto"/>
              <w:jc w:val="left"/>
            </w:pPr>
            <w:r w:rsidRPr="00C54BE9">
              <w:t>New power feeds 300' control</w:t>
            </w:r>
          </w:p>
        </w:tc>
        <w:tc>
          <w:tcPr>
            <w:tcW w:w="1620" w:type="dxa"/>
            <w:shd w:val="clear" w:color="auto" w:fill="EEF3F8"/>
            <w:noWrap/>
            <w:hideMark/>
          </w:tcPr>
          <w:p w14:paraId="6AAC9D9A"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B271C3F"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26738E08" w14:textId="77777777" w:rsidR="00C54BE9" w:rsidRPr="00C54BE9" w:rsidRDefault="00C54BE9" w:rsidP="00C54BE9">
            <w:pPr>
              <w:spacing w:after="0" w:line="240" w:lineRule="auto"/>
              <w:jc w:val="left"/>
            </w:pPr>
            <w:r w:rsidRPr="00C54BE9">
              <w:t> </w:t>
            </w:r>
          </w:p>
        </w:tc>
        <w:tc>
          <w:tcPr>
            <w:tcW w:w="1400" w:type="dxa"/>
            <w:shd w:val="clear" w:color="auto" w:fill="EEF3F8"/>
            <w:noWrap/>
            <w:hideMark/>
          </w:tcPr>
          <w:p w14:paraId="3A1C872C" w14:textId="77777777" w:rsidR="00C54BE9" w:rsidRPr="00C54BE9" w:rsidRDefault="00C54BE9" w:rsidP="00C54BE9">
            <w:pPr>
              <w:spacing w:after="0" w:line="240" w:lineRule="auto"/>
              <w:jc w:val="left"/>
            </w:pPr>
            <w:r w:rsidRPr="00C54BE9">
              <w:t>P.9</w:t>
            </w:r>
          </w:p>
        </w:tc>
      </w:tr>
      <w:tr w:rsidR="00C54BE9" w:rsidRPr="00C54BE9" w14:paraId="1BA133EE" w14:textId="77777777" w:rsidTr="004812EF">
        <w:trPr>
          <w:trHeight w:val="300"/>
        </w:trPr>
        <w:tc>
          <w:tcPr>
            <w:tcW w:w="1885" w:type="dxa"/>
            <w:shd w:val="clear" w:color="auto" w:fill="EEF3F8"/>
            <w:hideMark/>
          </w:tcPr>
          <w:p w14:paraId="3CC02013" w14:textId="77777777" w:rsidR="00C54BE9" w:rsidRPr="00C54BE9" w:rsidRDefault="00C54BE9" w:rsidP="00C54BE9">
            <w:pPr>
              <w:spacing w:after="0" w:line="240" w:lineRule="auto"/>
              <w:jc w:val="left"/>
            </w:pPr>
            <w:r w:rsidRPr="00C54BE9">
              <w:t>Operations</w:t>
            </w:r>
          </w:p>
        </w:tc>
        <w:tc>
          <w:tcPr>
            <w:tcW w:w="4950" w:type="dxa"/>
            <w:shd w:val="clear" w:color="auto" w:fill="EEF3F8"/>
            <w:noWrap/>
            <w:hideMark/>
          </w:tcPr>
          <w:p w14:paraId="319B56CA" w14:textId="77777777" w:rsidR="00C54BE9" w:rsidRPr="00C54BE9" w:rsidRDefault="00C54BE9" w:rsidP="00C54BE9">
            <w:pPr>
              <w:spacing w:after="0" w:line="240" w:lineRule="auto"/>
              <w:jc w:val="left"/>
            </w:pPr>
            <w:r w:rsidRPr="00C54BE9">
              <w:t>Enhancements to telescope monitoring system</w:t>
            </w:r>
          </w:p>
        </w:tc>
        <w:tc>
          <w:tcPr>
            <w:tcW w:w="1620" w:type="dxa"/>
            <w:shd w:val="clear" w:color="auto" w:fill="EEF3F8"/>
            <w:noWrap/>
            <w:hideMark/>
          </w:tcPr>
          <w:p w14:paraId="2F5D4DB7"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297B2027" w14:textId="77777777" w:rsidR="00C54BE9" w:rsidRPr="00C54BE9" w:rsidRDefault="00C54BE9" w:rsidP="00C54BE9">
            <w:pPr>
              <w:spacing w:after="0" w:line="240" w:lineRule="auto"/>
              <w:jc w:val="left"/>
            </w:pPr>
            <w:r w:rsidRPr="00C54BE9">
              <w:t> </w:t>
            </w:r>
          </w:p>
        </w:tc>
        <w:tc>
          <w:tcPr>
            <w:tcW w:w="1440" w:type="dxa"/>
            <w:shd w:val="clear" w:color="auto" w:fill="EEF3F8"/>
            <w:noWrap/>
            <w:hideMark/>
          </w:tcPr>
          <w:p w14:paraId="738D3442" w14:textId="77777777" w:rsidR="00C54BE9" w:rsidRPr="00C54BE9" w:rsidRDefault="00C54BE9" w:rsidP="00C54BE9">
            <w:pPr>
              <w:spacing w:after="0" w:line="240" w:lineRule="auto"/>
              <w:jc w:val="left"/>
            </w:pPr>
            <w:r w:rsidRPr="00C54BE9">
              <w:t>So. 4</w:t>
            </w:r>
          </w:p>
        </w:tc>
        <w:tc>
          <w:tcPr>
            <w:tcW w:w="1400" w:type="dxa"/>
            <w:shd w:val="clear" w:color="auto" w:fill="EEF3F8"/>
            <w:noWrap/>
            <w:hideMark/>
          </w:tcPr>
          <w:p w14:paraId="0B1ABBBF" w14:textId="77777777" w:rsidR="00C54BE9" w:rsidRPr="00C54BE9" w:rsidRDefault="00C54BE9" w:rsidP="00C54BE9">
            <w:pPr>
              <w:spacing w:after="0" w:line="240" w:lineRule="auto"/>
              <w:jc w:val="left"/>
            </w:pPr>
            <w:r w:rsidRPr="00C54BE9">
              <w:t> </w:t>
            </w:r>
          </w:p>
        </w:tc>
      </w:tr>
      <w:tr w:rsidR="00C54BE9" w:rsidRPr="00C54BE9" w14:paraId="3232C43F" w14:textId="77777777" w:rsidTr="00D210D0">
        <w:trPr>
          <w:trHeight w:val="300"/>
        </w:trPr>
        <w:tc>
          <w:tcPr>
            <w:tcW w:w="1885" w:type="dxa"/>
            <w:hideMark/>
          </w:tcPr>
          <w:p w14:paraId="1251E504" w14:textId="77777777" w:rsidR="00C54BE9" w:rsidRPr="00C54BE9" w:rsidRDefault="00C54BE9" w:rsidP="00C54BE9">
            <w:pPr>
              <w:spacing w:after="0" w:line="240" w:lineRule="auto"/>
              <w:jc w:val="left"/>
            </w:pPr>
            <w:r w:rsidRPr="00C54BE9">
              <w:t>Research &amp; Development </w:t>
            </w:r>
          </w:p>
        </w:tc>
        <w:tc>
          <w:tcPr>
            <w:tcW w:w="4950" w:type="dxa"/>
            <w:noWrap/>
            <w:hideMark/>
          </w:tcPr>
          <w:p w14:paraId="6ACB7CBA" w14:textId="6B14D7BD" w:rsidR="00C54BE9" w:rsidRPr="00C54BE9" w:rsidRDefault="00C54BE9" w:rsidP="00C54BE9">
            <w:pPr>
              <w:spacing w:after="0" w:line="240" w:lineRule="auto"/>
              <w:jc w:val="left"/>
            </w:pPr>
            <w:r w:rsidRPr="00C54BE9">
              <w:t>Active Surface Upgrade Design (FY</w:t>
            </w:r>
            <w:r w:rsidR="00940436">
              <w:t>20</w:t>
            </w:r>
            <w:r w:rsidRPr="00C54BE9">
              <w:t>21 carry forward)</w:t>
            </w:r>
          </w:p>
        </w:tc>
        <w:tc>
          <w:tcPr>
            <w:tcW w:w="1620" w:type="dxa"/>
            <w:noWrap/>
            <w:hideMark/>
          </w:tcPr>
          <w:p w14:paraId="1B7CE734" w14:textId="77777777" w:rsidR="00C54BE9" w:rsidRPr="00C54BE9" w:rsidRDefault="00C54BE9" w:rsidP="00C54BE9">
            <w:pPr>
              <w:spacing w:after="0" w:line="240" w:lineRule="auto"/>
              <w:jc w:val="left"/>
            </w:pPr>
            <w:r w:rsidRPr="00C54BE9">
              <w:t>E.1</w:t>
            </w:r>
          </w:p>
        </w:tc>
        <w:tc>
          <w:tcPr>
            <w:tcW w:w="1440" w:type="dxa"/>
            <w:noWrap/>
            <w:hideMark/>
          </w:tcPr>
          <w:p w14:paraId="21BE84A4" w14:textId="77777777" w:rsidR="00C54BE9" w:rsidRPr="00C54BE9" w:rsidRDefault="00C54BE9" w:rsidP="00C54BE9">
            <w:pPr>
              <w:spacing w:after="0" w:line="240" w:lineRule="auto"/>
              <w:jc w:val="left"/>
            </w:pPr>
            <w:r w:rsidRPr="00C54BE9">
              <w:t> </w:t>
            </w:r>
          </w:p>
        </w:tc>
        <w:tc>
          <w:tcPr>
            <w:tcW w:w="1440" w:type="dxa"/>
            <w:noWrap/>
            <w:hideMark/>
          </w:tcPr>
          <w:p w14:paraId="24F35DBF" w14:textId="77777777" w:rsidR="00C54BE9" w:rsidRPr="00C54BE9" w:rsidRDefault="00C54BE9" w:rsidP="00C54BE9">
            <w:pPr>
              <w:spacing w:after="0" w:line="240" w:lineRule="auto"/>
              <w:jc w:val="left"/>
            </w:pPr>
            <w:r w:rsidRPr="00C54BE9">
              <w:t> </w:t>
            </w:r>
          </w:p>
        </w:tc>
        <w:tc>
          <w:tcPr>
            <w:tcW w:w="1400" w:type="dxa"/>
            <w:noWrap/>
            <w:hideMark/>
          </w:tcPr>
          <w:p w14:paraId="27603DE2" w14:textId="77777777" w:rsidR="00C54BE9" w:rsidRPr="00C54BE9" w:rsidRDefault="00C54BE9" w:rsidP="00C54BE9">
            <w:pPr>
              <w:spacing w:after="0" w:line="240" w:lineRule="auto"/>
              <w:jc w:val="left"/>
            </w:pPr>
            <w:r w:rsidRPr="00C54BE9">
              <w:t> </w:t>
            </w:r>
          </w:p>
        </w:tc>
      </w:tr>
      <w:tr w:rsidR="00C54BE9" w:rsidRPr="00C54BE9" w14:paraId="70934AC6" w14:textId="77777777" w:rsidTr="00D210D0">
        <w:trPr>
          <w:trHeight w:val="300"/>
        </w:trPr>
        <w:tc>
          <w:tcPr>
            <w:tcW w:w="1885" w:type="dxa"/>
            <w:hideMark/>
          </w:tcPr>
          <w:p w14:paraId="609F60C1" w14:textId="77777777" w:rsidR="00C54BE9" w:rsidRPr="00C54BE9" w:rsidRDefault="00C54BE9" w:rsidP="00C54BE9">
            <w:pPr>
              <w:spacing w:after="0" w:line="240" w:lineRule="auto"/>
              <w:jc w:val="left"/>
            </w:pPr>
            <w:r w:rsidRPr="00C54BE9">
              <w:t>Research &amp; Development </w:t>
            </w:r>
          </w:p>
        </w:tc>
        <w:tc>
          <w:tcPr>
            <w:tcW w:w="4950" w:type="dxa"/>
            <w:noWrap/>
            <w:hideMark/>
          </w:tcPr>
          <w:p w14:paraId="5D4FAAF9" w14:textId="193BF9FF" w:rsidR="00C54BE9" w:rsidRPr="00C54BE9" w:rsidRDefault="00C54BE9" w:rsidP="00C54BE9">
            <w:pPr>
              <w:spacing w:after="0" w:line="240" w:lineRule="auto"/>
              <w:jc w:val="left"/>
            </w:pPr>
            <w:r w:rsidRPr="00C54BE9">
              <w:t>Active Surface Revised Budget (FY</w:t>
            </w:r>
            <w:r w:rsidR="00940436">
              <w:t>20</w:t>
            </w:r>
            <w:r w:rsidRPr="00C54BE9">
              <w:t>21 carry forward)</w:t>
            </w:r>
          </w:p>
        </w:tc>
        <w:tc>
          <w:tcPr>
            <w:tcW w:w="1620" w:type="dxa"/>
            <w:noWrap/>
            <w:hideMark/>
          </w:tcPr>
          <w:p w14:paraId="545EEAA6" w14:textId="77777777" w:rsidR="00C54BE9" w:rsidRPr="00C54BE9" w:rsidRDefault="00C54BE9" w:rsidP="00C54BE9">
            <w:pPr>
              <w:spacing w:after="0" w:line="240" w:lineRule="auto"/>
              <w:jc w:val="left"/>
            </w:pPr>
            <w:r w:rsidRPr="00C54BE9">
              <w:t> </w:t>
            </w:r>
          </w:p>
        </w:tc>
        <w:tc>
          <w:tcPr>
            <w:tcW w:w="1440" w:type="dxa"/>
            <w:noWrap/>
            <w:hideMark/>
          </w:tcPr>
          <w:p w14:paraId="585CB420" w14:textId="77777777" w:rsidR="00C54BE9" w:rsidRPr="00C54BE9" w:rsidRDefault="00C54BE9" w:rsidP="00C54BE9">
            <w:pPr>
              <w:spacing w:after="0" w:line="240" w:lineRule="auto"/>
              <w:jc w:val="left"/>
            </w:pPr>
            <w:r w:rsidRPr="00C54BE9">
              <w:t>E.2</w:t>
            </w:r>
          </w:p>
        </w:tc>
        <w:tc>
          <w:tcPr>
            <w:tcW w:w="1440" w:type="dxa"/>
            <w:noWrap/>
            <w:hideMark/>
          </w:tcPr>
          <w:p w14:paraId="777716F3" w14:textId="77777777" w:rsidR="00C54BE9" w:rsidRPr="00C54BE9" w:rsidRDefault="00C54BE9" w:rsidP="00C54BE9">
            <w:pPr>
              <w:spacing w:after="0" w:line="240" w:lineRule="auto"/>
              <w:jc w:val="left"/>
            </w:pPr>
            <w:r w:rsidRPr="00C54BE9">
              <w:t> </w:t>
            </w:r>
          </w:p>
        </w:tc>
        <w:tc>
          <w:tcPr>
            <w:tcW w:w="1400" w:type="dxa"/>
            <w:noWrap/>
            <w:hideMark/>
          </w:tcPr>
          <w:p w14:paraId="2EB854A0" w14:textId="77777777" w:rsidR="00C54BE9" w:rsidRPr="00C54BE9" w:rsidRDefault="00C54BE9" w:rsidP="00C54BE9">
            <w:pPr>
              <w:spacing w:after="0" w:line="240" w:lineRule="auto"/>
              <w:jc w:val="left"/>
            </w:pPr>
            <w:r w:rsidRPr="00C54BE9">
              <w:t> </w:t>
            </w:r>
          </w:p>
        </w:tc>
      </w:tr>
      <w:tr w:rsidR="00C54BE9" w:rsidRPr="00C54BE9" w14:paraId="7CF7AAE7" w14:textId="77777777" w:rsidTr="00D210D0">
        <w:trPr>
          <w:trHeight w:val="540"/>
        </w:trPr>
        <w:tc>
          <w:tcPr>
            <w:tcW w:w="1885" w:type="dxa"/>
            <w:hideMark/>
          </w:tcPr>
          <w:p w14:paraId="5DA8872A" w14:textId="77777777" w:rsidR="00C54BE9" w:rsidRPr="00C54BE9" w:rsidRDefault="00C54BE9" w:rsidP="00C54BE9">
            <w:pPr>
              <w:spacing w:after="0" w:line="240" w:lineRule="auto"/>
              <w:jc w:val="left"/>
            </w:pPr>
            <w:r w:rsidRPr="00C54BE9">
              <w:t>Research &amp; Development </w:t>
            </w:r>
          </w:p>
        </w:tc>
        <w:tc>
          <w:tcPr>
            <w:tcW w:w="4950" w:type="dxa"/>
            <w:hideMark/>
          </w:tcPr>
          <w:p w14:paraId="5AE31B5C" w14:textId="77777777" w:rsidR="00940436" w:rsidRDefault="00C54BE9" w:rsidP="00C54BE9">
            <w:pPr>
              <w:spacing w:after="0" w:line="240" w:lineRule="auto"/>
              <w:jc w:val="left"/>
            </w:pPr>
            <w:r w:rsidRPr="00C54BE9">
              <w:t xml:space="preserve">Cyclic Spectroscopy: graduate student identified </w:t>
            </w:r>
          </w:p>
          <w:p w14:paraId="25562C34" w14:textId="4CE7277F" w:rsidR="00C54BE9" w:rsidRPr="00C54BE9" w:rsidRDefault="00C54BE9" w:rsidP="00C54BE9">
            <w:pPr>
              <w:spacing w:after="0" w:line="240" w:lineRule="auto"/>
              <w:jc w:val="left"/>
            </w:pPr>
            <w:r w:rsidRPr="00C54BE9">
              <w:t>(FY</w:t>
            </w:r>
            <w:r w:rsidR="00940436">
              <w:t>20</w:t>
            </w:r>
            <w:r w:rsidRPr="00C54BE9">
              <w:t>21 carry forward)</w:t>
            </w:r>
          </w:p>
        </w:tc>
        <w:tc>
          <w:tcPr>
            <w:tcW w:w="1620" w:type="dxa"/>
            <w:noWrap/>
            <w:hideMark/>
          </w:tcPr>
          <w:p w14:paraId="75EA877A" w14:textId="77777777" w:rsidR="00C54BE9" w:rsidRPr="00C54BE9" w:rsidRDefault="00C54BE9" w:rsidP="00C54BE9">
            <w:pPr>
              <w:spacing w:after="0" w:line="240" w:lineRule="auto"/>
              <w:jc w:val="left"/>
            </w:pPr>
            <w:r w:rsidRPr="00C54BE9">
              <w:t> </w:t>
            </w:r>
          </w:p>
        </w:tc>
        <w:tc>
          <w:tcPr>
            <w:tcW w:w="1440" w:type="dxa"/>
            <w:noWrap/>
            <w:hideMark/>
          </w:tcPr>
          <w:p w14:paraId="415C4330" w14:textId="77777777" w:rsidR="00C54BE9" w:rsidRPr="00C54BE9" w:rsidRDefault="00C54BE9" w:rsidP="00C54BE9">
            <w:pPr>
              <w:spacing w:after="0" w:line="240" w:lineRule="auto"/>
              <w:jc w:val="left"/>
            </w:pPr>
            <w:r w:rsidRPr="00C54BE9">
              <w:t>Sc.17</w:t>
            </w:r>
          </w:p>
        </w:tc>
        <w:tc>
          <w:tcPr>
            <w:tcW w:w="1440" w:type="dxa"/>
            <w:noWrap/>
            <w:hideMark/>
          </w:tcPr>
          <w:p w14:paraId="0B8A699F" w14:textId="77777777" w:rsidR="00C54BE9" w:rsidRPr="00C54BE9" w:rsidRDefault="00C54BE9" w:rsidP="00C54BE9">
            <w:pPr>
              <w:spacing w:after="0" w:line="240" w:lineRule="auto"/>
              <w:jc w:val="left"/>
            </w:pPr>
            <w:r w:rsidRPr="00C54BE9">
              <w:t> </w:t>
            </w:r>
          </w:p>
        </w:tc>
        <w:tc>
          <w:tcPr>
            <w:tcW w:w="1400" w:type="dxa"/>
            <w:noWrap/>
            <w:hideMark/>
          </w:tcPr>
          <w:p w14:paraId="5802C2CA" w14:textId="77777777" w:rsidR="00C54BE9" w:rsidRPr="00C54BE9" w:rsidRDefault="00C54BE9" w:rsidP="00C54BE9">
            <w:pPr>
              <w:spacing w:after="0" w:line="240" w:lineRule="auto"/>
              <w:jc w:val="left"/>
            </w:pPr>
            <w:r w:rsidRPr="00C54BE9">
              <w:t> </w:t>
            </w:r>
          </w:p>
        </w:tc>
      </w:tr>
      <w:tr w:rsidR="00C54BE9" w:rsidRPr="00C54BE9" w14:paraId="034845C0" w14:textId="77777777" w:rsidTr="00D210D0">
        <w:trPr>
          <w:trHeight w:val="525"/>
        </w:trPr>
        <w:tc>
          <w:tcPr>
            <w:tcW w:w="1885" w:type="dxa"/>
            <w:hideMark/>
          </w:tcPr>
          <w:p w14:paraId="446452DC" w14:textId="77777777" w:rsidR="00C54BE9" w:rsidRPr="00C54BE9" w:rsidRDefault="00C54BE9" w:rsidP="00C54BE9">
            <w:pPr>
              <w:spacing w:after="0" w:line="240" w:lineRule="auto"/>
              <w:jc w:val="left"/>
            </w:pPr>
            <w:r w:rsidRPr="00C54BE9">
              <w:t>Research &amp; Development </w:t>
            </w:r>
          </w:p>
        </w:tc>
        <w:tc>
          <w:tcPr>
            <w:tcW w:w="4950" w:type="dxa"/>
            <w:hideMark/>
          </w:tcPr>
          <w:p w14:paraId="32CC03A6" w14:textId="77777777" w:rsidR="00940436" w:rsidRDefault="00C54BE9" w:rsidP="00C54BE9">
            <w:pPr>
              <w:spacing w:after="0" w:line="240" w:lineRule="auto"/>
              <w:jc w:val="left"/>
            </w:pPr>
            <w:r w:rsidRPr="00C54BE9">
              <w:t xml:space="preserve">Cyclic Spectroscopy: Advisory group established </w:t>
            </w:r>
          </w:p>
          <w:p w14:paraId="57CB8DF9" w14:textId="6209F36A" w:rsidR="00C54BE9" w:rsidRPr="00C54BE9" w:rsidRDefault="00C54BE9" w:rsidP="00C54BE9">
            <w:pPr>
              <w:spacing w:after="0" w:line="240" w:lineRule="auto"/>
              <w:jc w:val="left"/>
            </w:pPr>
            <w:r w:rsidRPr="00C54BE9">
              <w:t>(FY</w:t>
            </w:r>
            <w:r w:rsidR="00940436">
              <w:t>20</w:t>
            </w:r>
            <w:r w:rsidRPr="00C54BE9">
              <w:t>21 carry forward)</w:t>
            </w:r>
          </w:p>
        </w:tc>
        <w:tc>
          <w:tcPr>
            <w:tcW w:w="1620" w:type="dxa"/>
            <w:noWrap/>
            <w:hideMark/>
          </w:tcPr>
          <w:p w14:paraId="3712714F" w14:textId="77777777" w:rsidR="00C54BE9" w:rsidRPr="00C54BE9" w:rsidRDefault="00C54BE9" w:rsidP="00C54BE9">
            <w:pPr>
              <w:spacing w:after="0" w:line="240" w:lineRule="auto"/>
              <w:jc w:val="left"/>
            </w:pPr>
            <w:r w:rsidRPr="00C54BE9">
              <w:t> </w:t>
            </w:r>
          </w:p>
        </w:tc>
        <w:tc>
          <w:tcPr>
            <w:tcW w:w="1440" w:type="dxa"/>
            <w:noWrap/>
            <w:hideMark/>
          </w:tcPr>
          <w:p w14:paraId="5991B419" w14:textId="77777777" w:rsidR="00C54BE9" w:rsidRPr="00C54BE9" w:rsidRDefault="00C54BE9" w:rsidP="00C54BE9">
            <w:pPr>
              <w:spacing w:after="0" w:line="240" w:lineRule="auto"/>
              <w:jc w:val="left"/>
            </w:pPr>
            <w:r w:rsidRPr="00C54BE9">
              <w:t>Sc.18</w:t>
            </w:r>
          </w:p>
        </w:tc>
        <w:tc>
          <w:tcPr>
            <w:tcW w:w="1440" w:type="dxa"/>
            <w:noWrap/>
            <w:hideMark/>
          </w:tcPr>
          <w:p w14:paraId="45B6F91A" w14:textId="77777777" w:rsidR="00C54BE9" w:rsidRPr="00C54BE9" w:rsidRDefault="00C54BE9" w:rsidP="00C54BE9">
            <w:pPr>
              <w:spacing w:after="0" w:line="240" w:lineRule="auto"/>
              <w:jc w:val="left"/>
            </w:pPr>
            <w:r w:rsidRPr="00C54BE9">
              <w:t> </w:t>
            </w:r>
          </w:p>
        </w:tc>
        <w:tc>
          <w:tcPr>
            <w:tcW w:w="1400" w:type="dxa"/>
            <w:noWrap/>
            <w:hideMark/>
          </w:tcPr>
          <w:p w14:paraId="177F2201" w14:textId="77777777" w:rsidR="00C54BE9" w:rsidRPr="00C54BE9" w:rsidRDefault="00C54BE9" w:rsidP="00C54BE9">
            <w:pPr>
              <w:spacing w:after="0" w:line="240" w:lineRule="auto"/>
              <w:jc w:val="left"/>
            </w:pPr>
            <w:r w:rsidRPr="00C54BE9">
              <w:t> </w:t>
            </w:r>
          </w:p>
        </w:tc>
      </w:tr>
      <w:tr w:rsidR="00C54BE9" w:rsidRPr="00C54BE9" w14:paraId="74D53042" w14:textId="77777777" w:rsidTr="00D210D0">
        <w:trPr>
          <w:trHeight w:val="555"/>
        </w:trPr>
        <w:tc>
          <w:tcPr>
            <w:tcW w:w="1885" w:type="dxa"/>
            <w:hideMark/>
          </w:tcPr>
          <w:p w14:paraId="06A891DF" w14:textId="77777777" w:rsidR="00C54BE9" w:rsidRPr="00C54BE9" w:rsidRDefault="00C54BE9" w:rsidP="00C54BE9">
            <w:pPr>
              <w:spacing w:after="0" w:line="240" w:lineRule="auto"/>
              <w:jc w:val="left"/>
            </w:pPr>
            <w:r w:rsidRPr="00C54BE9">
              <w:t>Research &amp; Development </w:t>
            </w:r>
          </w:p>
        </w:tc>
        <w:tc>
          <w:tcPr>
            <w:tcW w:w="4950" w:type="dxa"/>
            <w:hideMark/>
          </w:tcPr>
          <w:p w14:paraId="0BF0D78F" w14:textId="4BFC8A51" w:rsidR="00C54BE9" w:rsidRPr="00C54BE9" w:rsidRDefault="00C54BE9" w:rsidP="00C54BE9">
            <w:pPr>
              <w:spacing w:after="0" w:line="240" w:lineRule="auto"/>
              <w:jc w:val="left"/>
            </w:pPr>
            <w:r w:rsidRPr="00C54BE9">
              <w:t>Cyclic Spectroscopy: Initial Hardware Procurement (FY</w:t>
            </w:r>
            <w:r w:rsidR="00940436">
              <w:t>20</w:t>
            </w:r>
            <w:r w:rsidRPr="00C54BE9">
              <w:t>21 carry forward)</w:t>
            </w:r>
          </w:p>
        </w:tc>
        <w:tc>
          <w:tcPr>
            <w:tcW w:w="1620" w:type="dxa"/>
            <w:noWrap/>
            <w:hideMark/>
          </w:tcPr>
          <w:p w14:paraId="318A2E41" w14:textId="77777777" w:rsidR="00C54BE9" w:rsidRPr="00C54BE9" w:rsidRDefault="00C54BE9" w:rsidP="00C54BE9">
            <w:pPr>
              <w:spacing w:after="0" w:line="240" w:lineRule="auto"/>
              <w:jc w:val="left"/>
            </w:pPr>
            <w:r w:rsidRPr="00C54BE9">
              <w:t> </w:t>
            </w:r>
          </w:p>
        </w:tc>
        <w:tc>
          <w:tcPr>
            <w:tcW w:w="1440" w:type="dxa"/>
            <w:noWrap/>
            <w:hideMark/>
          </w:tcPr>
          <w:p w14:paraId="1D1D4FBB" w14:textId="77777777" w:rsidR="00C54BE9" w:rsidRPr="00C54BE9" w:rsidRDefault="00C54BE9" w:rsidP="00C54BE9">
            <w:pPr>
              <w:spacing w:after="0" w:line="240" w:lineRule="auto"/>
              <w:jc w:val="left"/>
            </w:pPr>
            <w:r w:rsidRPr="00C54BE9">
              <w:t> </w:t>
            </w:r>
          </w:p>
        </w:tc>
        <w:tc>
          <w:tcPr>
            <w:tcW w:w="1440" w:type="dxa"/>
            <w:noWrap/>
            <w:hideMark/>
          </w:tcPr>
          <w:p w14:paraId="08887CE6" w14:textId="77777777" w:rsidR="00C54BE9" w:rsidRPr="00C54BE9" w:rsidRDefault="00C54BE9" w:rsidP="00C54BE9">
            <w:pPr>
              <w:spacing w:after="0" w:line="240" w:lineRule="auto"/>
              <w:jc w:val="left"/>
            </w:pPr>
            <w:r w:rsidRPr="00C54BE9">
              <w:t>Sc.20</w:t>
            </w:r>
          </w:p>
        </w:tc>
        <w:tc>
          <w:tcPr>
            <w:tcW w:w="1400" w:type="dxa"/>
            <w:noWrap/>
            <w:hideMark/>
          </w:tcPr>
          <w:p w14:paraId="772C2D5D" w14:textId="77777777" w:rsidR="00C54BE9" w:rsidRPr="00C54BE9" w:rsidRDefault="00C54BE9" w:rsidP="00C54BE9">
            <w:pPr>
              <w:spacing w:after="0" w:line="240" w:lineRule="auto"/>
              <w:jc w:val="left"/>
            </w:pPr>
            <w:r w:rsidRPr="00C54BE9">
              <w:t> </w:t>
            </w:r>
          </w:p>
        </w:tc>
      </w:tr>
      <w:tr w:rsidR="00C54BE9" w:rsidRPr="00C54BE9" w14:paraId="3401C17D" w14:textId="77777777" w:rsidTr="00D210D0">
        <w:trPr>
          <w:trHeight w:val="585"/>
        </w:trPr>
        <w:tc>
          <w:tcPr>
            <w:tcW w:w="1885" w:type="dxa"/>
            <w:hideMark/>
          </w:tcPr>
          <w:p w14:paraId="31A94E56" w14:textId="77777777" w:rsidR="00C54BE9" w:rsidRPr="00C54BE9" w:rsidRDefault="00C54BE9" w:rsidP="00C54BE9">
            <w:pPr>
              <w:spacing w:after="0" w:line="240" w:lineRule="auto"/>
              <w:jc w:val="left"/>
            </w:pPr>
            <w:r w:rsidRPr="00C54BE9">
              <w:lastRenderedPageBreak/>
              <w:t>Research &amp; Development </w:t>
            </w:r>
          </w:p>
        </w:tc>
        <w:tc>
          <w:tcPr>
            <w:tcW w:w="4950" w:type="dxa"/>
            <w:hideMark/>
          </w:tcPr>
          <w:p w14:paraId="7A07AC8D" w14:textId="77777777" w:rsidR="00940436" w:rsidRDefault="00C54BE9" w:rsidP="00C54BE9">
            <w:pPr>
              <w:spacing w:after="0" w:line="240" w:lineRule="auto"/>
              <w:jc w:val="left"/>
            </w:pPr>
            <w:r w:rsidRPr="00C54BE9">
              <w:t xml:space="preserve">Cyclic Spectroscopy:  Software Architecture </w:t>
            </w:r>
          </w:p>
          <w:p w14:paraId="472F048C" w14:textId="37C77607" w:rsidR="00C54BE9" w:rsidRPr="00C54BE9" w:rsidRDefault="00C54BE9" w:rsidP="00C54BE9">
            <w:pPr>
              <w:spacing w:after="0" w:line="240" w:lineRule="auto"/>
              <w:jc w:val="left"/>
            </w:pPr>
            <w:r w:rsidRPr="00C54BE9">
              <w:t>(FY</w:t>
            </w:r>
            <w:r w:rsidR="00940436">
              <w:t>20</w:t>
            </w:r>
            <w:r w:rsidRPr="00C54BE9">
              <w:t>21 carry forward)</w:t>
            </w:r>
          </w:p>
        </w:tc>
        <w:tc>
          <w:tcPr>
            <w:tcW w:w="1620" w:type="dxa"/>
            <w:noWrap/>
            <w:hideMark/>
          </w:tcPr>
          <w:p w14:paraId="71CE3763" w14:textId="77777777" w:rsidR="00C54BE9" w:rsidRPr="00C54BE9" w:rsidRDefault="00C54BE9" w:rsidP="00C54BE9">
            <w:pPr>
              <w:spacing w:after="0" w:line="240" w:lineRule="auto"/>
              <w:jc w:val="left"/>
            </w:pPr>
            <w:r w:rsidRPr="00C54BE9">
              <w:t> </w:t>
            </w:r>
          </w:p>
        </w:tc>
        <w:tc>
          <w:tcPr>
            <w:tcW w:w="1440" w:type="dxa"/>
            <w:noWrap/>
            <w:hideMark/>
          </w:tcPr>
          <w:p w14:paraId="0F2FCA94" w14:textId="77777777" w:rsidR="00C54BE9" w:rsidRPr="00C54BE9" w:rsidRDefault="00C54BE9" w:rsidP="00C54BE9">
            <w:pPr>
              <w:spacing w:after="0" w:line="240" w:lineRule="auto"/>
              <w:jc w:val="left"/>
            </w:pPr>
            <w:r w:rsidRPr="00C54BE9">
              <w:t>So.5</w:t>
            </w:r>
          </w:p>
        </w:tc>
        <w:tc>
          <w:tcPr>
            <w:tcW w:w="1440" w:type="dxa"/>
            <w:noWrap/>
            <w:hideMark/>
          </w:tcPr>
          <w:p w14:paraId="377B3BC0" w14:textId="77777777" w:rsidR="00C54BE9" w:rsidRPr="00C54BE9" w:rsidRDefault="00C54BE9" w:rsidP="00C54BE9">
            <w:pPr>
              <w:spacing w:after="0" w:line="240" w:lineRule="auto"/>
              <w:jc w:val="left"/>
            </w:pPr>
            <w:r w:rsidRPr="00C54BE9">
              <w:t> </w:t>
            </w:r>
          </w:p>
        </w:tc>
        <w:tc>
          <w:tcPr>
            <w:tcW w:w="1400" w:type="dxa"/>
            <w:noWrap/>
            <w:hideMark/>
          </w:tcPr>
          <w:p w14:paraId="0DB00022" w14:textId="77777777" w:rsidR="00C54BE9" w:rsidRPr="00C54BE9" w:rsidRDefault="00C54BE9" w:rsidP="00C54BE9">
            <w:pPr>
              <w:spacing w:after="0" w:line="240" w:lineRule="auto"/>
              <w:jc w:val="left"/>
            </w:pPr>
            <w:r w:rsidRPr="00C54BE9">
              <w:t> </w:t>
            </w:r>
          </w:p>
        </w:tc>
      </w:tr>
      <w:tr w:rsidR="00C54BE9" w:rsidRPr="00C54BE9" w14:paraId="138925EA" w14:textId="77777777" w:rsidTr="00D210D0">
        <w:trPr>
          <w:trHeight w:val="300"/>
        </w:trPr>
        <w:tc>
          <w:tcPr>
            <w:tcW w:w="1885" w:type="dxa"/>
            <w:hideMark/>
          </w:tcPr>
          <w:p w14:paraId="4268A789" w14:textId="77777777" w:rsidR="00C54BE9" w:rsidRPr="00C54BE9" w:rsidRDefault="00C54BE9" w:rsidP="00C54BE9">
            <w:pPr>
              <w:spacing w:after="0" w:line="240" w:lineRule="auto"/>
              <w:jc w:val="left"/>
            </w:pPr>
            <w:r w:rsidRPr="00C54BE9">
              <w:t>Research &amp; Development </w:t>
            </w:r>
          </w:p>
        </w:tc>
        <w:tc>
          <w:tcPr>
            <w:tcW w:w="4950" w:type="dxa"/>
            <w:noWrap/>
            <w:hideMark/>
          </w:tcPr>
          <w:p w14:paraId="43F0056A" w14:textId="77777777" w:rsidR="00C54BE9" w:rsidRPr="00C54BE9" w:rsidRDefault="00C54BE9" w:rsidP="00C54BE9">
            <w:pPr>
              <w:spacing w:after="0" w:line="240" w:lineRule="auto"/>
              <w:jc w:val="left"/>
            </w:pPr>
            <w:r w:rsidRPr="00C54BE9">
              <w:t>Cyclic Spectroscopy:  Software Development</w:t>
            </w:r>
          </w:p>
        </w:tc>
        <w:tc>
          <w:tcPr>
            <w:tcW w:w="1620" w:type="dxa"/>
            <w:noWrap/>
            <w:hideMark/>
          </w:tcPr>
          <w:p w14:paraId="6A0C9AC2" w14:textId="77777777" w:rsidR="00C54BE9" w:rsidRPr="00C54BE9" w:rsidRDefault="00C54BE9" w:rsidP="00C54BE9">
            <w:pPr>
              <w:spacing w:after="0" w:line="240" w:lineRule="auto"/>
              <w:jc w:val="left"/>
            </w:pPr>
            <w:r w:rsidRPr="00C54BE9">
              <w:t> </w:t>
            </w:r>
          </w:p>
        </w:tc>
        <w:tc>
          <w:tcPr>
            <w:tcW w:w="1440" w:type="dxa"/>
            <w:noWrap/>
            <w:hideMark/>
          </w:tcPr>
          <w:p w14:paraId="0099E9DC" w14:textId="77777777" w:rsidR="00C54BE9" w:rsidRPr="00C54BE9" w:rsidRDefault="00C54BE9" w:rsidP="00C54BE9">
            <w:pPr>
              <w:spacing w:after="0" w:line="240" w:lineRule="auto"/>
              <w:jc w:val="left"/>
            </w:pPr>
            <w:r w:rsidRPr="00C54BE9">
              <w:t> </w:t>
            </w:r>
          </w:p>
        </w:tc>
        <w:tc>
          <w:tcPr>
            <w:tcW w:w="1440" w:type="dxa"/>
            <w:noWrap/>
            <w:hideMark/>
          </w:tcPr>
          <w:p w14:paraId="2BAD472F" w14:textId="77777777" w:rsidR="00C54BE9" w:rsidRPr="00C54BE9" w:rsidRDefault="00C54BE9" w:rsidP="00C54BE9">
            <w:pPr>
              <w:spacing w:after="0" w:line="240" w:lineRule="auto"/>
              <w:jc w:val="left"/>
            </w:pPr>
            <w:r w:rsidRPr="00C54BE9">
              <w:t> </w:t>
            </w:r>
          </w:p>
        </w:tc>
        <w:tc>
          <w:tcPr>
            <w:tcW w:w="1400" w:type="dxa"/>
            <w:noWrap/>
            <w:hideMark/>
          </w:tcPr>
          <w:p w14:paraId="31909AA3" w14:textId="77777777" w:rsidR="00C54BE9" w:rsidRPr="00C54BE9" w:rsidRDefault="00C54BE9" w:rsidP="00C54BE9">
            <w:pPr>
              <w:spacing w:after="0" w:line="240" w:lineRule="auto"/>
              <w:jc w:val="left"/>
            </w:pPr>
            <w:r w:rsidRPr="00C54BE9">
              <w:t>So.6</w:t>
            </w:r>
          </w:p>
        </w:tc>
      </w:tr>
      <w:tr w:rsidR="00C54BE9" w:rsidRPr="00C54BE9" w14:paraId="294E3FCE" w14:textId="77777777" w:rsidTr="00D210D0">
        <w:trPr>
          <w:trHeight w:val="300"/>
        </w:trPr>
        <w:tc>
          <w:tcPr>
            <w:tcW w:w="1885" w:type="dxa"/>
            <w:hideMark/>
          </w:tcPr>
          <w:p w14:paraId="0F8030CE" w14:textId="77777777" w:rsidR="00C54BE9" w:rsidRPr="00C54BE9" w:rsidRDefault="00C54BE9" w:rsidP="00C54BE9">
            <w:pPr>
              <w:spacing w:after="0" w:line="240" w:lineRule="auto"/>
              <w:jc w:val="left"/>
            </w:pPr>
            <w:r w:rsidRPr="00C54BE9">
              <w:t>Research &amp; Development </w:t>
            </w:r>
          </w:p>
        </w:tc>
        <w:tc>
          <w:tcPr>
            <w:tcW w:w="4950" w:type="dxa"/>
            <w:noWrap/>
            <w:hideMark/>
          </w:tcPr>
          <w:p w14:paraId="1223895E" w14:textId="77777777" w:rsidR="00940436" w:rsidRDefault="00C54BE9" w:rsidP="00C54BE9">
            <w:pPr>
              <w:spacing w:after="0" w:line="240" w:lineRule="auto"/>
              <w:jc w:val="left"/>
            </w:pPr>
            <w:r w:rsidRPr="00C54BE9">
              <w:t xml:space="preserve">Cyclic Spectroscopy: resource plan </w:t>
            </w:r>
          </w:p>
          <w:p w14:paraId="43DCFFCD" w14:textId="25BB0109" w:rsidR="00C54BE9" w:rsidRPr="00C54BE9" w:rsidRDefault="00C54BE9" w:rsidP="00C54BE9">
            <w:pPr>
              <w:spacing w:after="0" w:line="240" w:lineRule="auto"/>
              <w:jc w:val="left"/>
            </w:pPr>
            <w:r w:rsidRPr="00C54BE9">
              <w:t>(FY</w:t>
            </w:r>
            <w:r w:rsidR="00940436">
              <w:t>20</w:t>
            </w:r>
            <w:r w:rsidRPr="00C54BE9">
              <w:t>21 carry forward)</w:t>
            </w:r>
          </w:p>
        </w:tc>
        <w:tc>
          <w:tcPr>
            <w:tcW w:w="1620" w:type="dxa"/>
            <w:noWrap/>
            <w:hideMark/>
          </w:tcPr>
          <w:p w14:paraId="104E3D12" w14:textId="77777777" w:rsidR="00C54BE9" w:rsidRPr="00C54BE9" w:rsidRDefault="00C54BE9" w:rsidP="00C54BE9">
            <w:pPr>
              <w:spacing w:after="0" w:line="240" w:lineRule="auto"/>
              <w:jc w:val="left"/>
            </w:pPr>
            <w:r w:rsidRPr="00C54BE9">
              <w:t> </w:t>
            </w:r>
          </w:p>
        </w:tc>
        <w:tc>
          <w:tcPr>
            <w:tcW w:w="1440" w:type="dxa"/>
            <w:noWrap/>
            <w:hideMark/>
          </w:tcPr>
          <w:p w14:paraId="24899263" w14:textId="77777777" w:rsidR="00C54BE9" w:rsidRPr="00C54BE9" w:rsidRDefault="00C54BE9" w:rsidP="00C54BE9">
            <w:pPr>
              <w:spacing w:after="0" w:line="240" w:lineRule="auto"/>
              <w:jc w:val="left"/>
            </w:pPr>
            <w:r w:rsidRPr="00C54BE9">
              <w:t>PM.1</w:t>
            </w:r>
          </w:p>
        </w:tc>
        <w:tc>
          <w:tcPr>
            <w:tcW w:w="1440" w:type="dxa"/>
            <w:noWrap/>
            <w:hideMark/>
          </w:tcPr>
          <w:p w14:paraId="4CC1B84E" w14:textId="77777777" w:rsidR="00C54BE9" w:rsidRPr="00C54BE9" w:rsidRDefault="00C54BE9" w:rsidP="00C54BE9">
            <w:pPr>
              <w:spacing w:after="0" w:line="240" w:lineRule="auto"/>
              <w:jc w:val="left"/>
            </w:pPr>
            <w:r w:rsidRPr="00C54BE9">
              <w:t> </w:t>
            </w:r>
          </w:p>
        </w:tc>
        <w:tc>
          <w:tcPr>
            <w:tcW w:w="1400" w:type="dxa"/>
            <w:noWrap/>
            <w:hideMark/>
          </w:tcPr>
          <w:p w14:paraId="3EC86818" w14:textId="77777777" w:rsidR="00C54BE9" w:rsidRPr="00C54BE9" w:rsidRDefault="00C54BE9" w:rsidP="00C54BE9">
            <w:pPr>
              <w:spacing w:after="0" w:line="240" w:lineRule="auto"/>
              <w:jc w:val="left"/>
            </w:pPr>
            <w:r w:rsidRPr="00C54BE9">
              <w:t> </w:t>
            </w:r>
          </w:p>
        </w:tc>
      </w:tr>
      <w:tr w:rsidR="00C54BE9" w:rsidRPr="00C54BE9" w14:paraId="163664D5" w14:textId="77777777" w:rsidTr="00D210D0">
        <w:trPr>
          <w:trHeight w:val="300"/>
        </w:trPr>
        <w:tc>
          <w:tcPr>
            <w:tcW w:w="1885" w:type="dxa"/>
            <w:hideMark/>
          </w:tcPr>
          <w:p w14:paraId="39F28892" w14:textId="77777777" w:rsidR="00C54BE9" w:rsidRPr="00C54BE9" w:rsidRDefault="00C54BE9" w:rsidP="00C54BE9">
            <w:pPr>
              <w:spacing w:after="0" w:line="240" w:lineRule="auto"/>
              <w:jc w:val="left"/>
            </w:pPr>
            <w:r w:rsidRPr="00C54BE9">
              <w:t>Research &amp; Development </w:t>
            </w:r>
          </w:p>
        </w:tc>
        <w:tc>
          <w:tcPr>
            <w:tcW w:w="4950" w:type="dxa"/>
            <w:noWrap/>
            <w:hideMark/>
          </w:tcPr>
          <w:p w14:paraId="286E0E80" w14:textId="77777777" w:rsidR="00C54BE9" w:rsidRPr="00C54BE9" w:rsidRDefault="00C54BE9" w:rsidP="00C54BE9">
            <w:pPr>
              <w:spacing w:after="0" w:line="240" w:lineRule="auto"/>
              <w:jc w:val="left"/>
            </w:pPr>
            <w:r w:rsidRPr="00C54BE9">
              <w:t>Cyclic Spectroscopy: Stakeholder and Science Requirements</w:t>
            </w:r>
          </w:p>
        </w:tc>
        <w:tc>
          <w:tcPr>
            <w:tcW w:w="1620" w:type="dxa"/>
            <w:noWrap/>
            <w:hideMark/>
          </w:tcPr>
          <w:p w14:paraId="212F0697" w14:textId="284D30C8" w:rsidR="00C54BE9" w:rsidRPr="00C54BE9" w:rsidRDefault="00C54BE9" w:rsidP="00C54BE9">
            <w:pPr>
              <w:spacing w:after="0" w:line="240" w:lineRule="auto"/>
              <w:jc w:val="left"/>
            </w:pPr>
            <w:r w:rsidRPr="00C54BE9">
              <w:t>Sc</w:t>
            </w:r>
            <w:r w:rsidR="00CB1339">
              <w:t>.2</w:t>
            </w:r>
            <w:r w:rsidR="00BE742D">
              <w:t>2</w:t>
            </w:r>
          </w:p>
        </w:tc>
        <w:tc>
          <w:tcPr>
            <w:tcW w:w="1440" w:type="dxa"/>
            <w:noWrap/>
            <w:hideMark/>
          </w:tcPr>
          <w:p w14:paraId="241C8A47" w14:textId="77777777" w:rsidR="00C54BE9" w:rsidRPr="00C54BE9" w:rsidRDefault="00C54BE9" w:rsidP="00C54BE9">
            <w:pPr>
              <w:spacing w:after="0" w:line="240" w:lineRule="auto"/>
              <w:jc w:val="left"/>
            </w:pPr>
            <w:r w:rsidRPr="00C54BE9">
              <w:t> </w:t>
            </w:r>
          </w:p>
        </w:tc>
        <w:tc>
          <w:tcPr>
            <w:tcW w:w="1440" w:type="dxa"/>
            <w:noWrap/>
            <w:hideMark/>
          </w:tcPr>
          <w:p w14:paraId="75F17AD7" w14:textId="77777777" w:rsidR="00C54BE9" w:rsidRPr="00C54BE9" w:rsidRDefault="00C54BE9" w:rsidP="00C54BE9">
            <w:pPr>
              <w:spacing w:after="0" w:line="240" w:lineRule="auto"/>
              <w:jc w:val="left"/>
            </w:pPr>
            <w:r w:rsidRPr="00C54BE9">
              <w:t> </w:t>
            </w:r>
          </w:p>
        </w:tc>
        <w:tc>
          <w:tcPr>
            <w:tcW w:w="1400" w:type="dxa"/>
            <w:noWrap/>
            <w:hideMark/>
          </w:tcPr>
          <w:p w14:paraId="4C027B06" w14:textId="77777777" w:rsidR="00C54BE9" w:rsidRPr="00C54BE9" w:rsidRDefault="00C54BE9" w:rsidP="00C54BE9">
            <w:pPr>
              <w:spacing w:after="0" w:line="240" w:lineRule="auto"/>
              <w:jc w:val="left"/>
            </w:pPr>
            <w:r w:rsidRPr="00C54BE9">
              <w:t> </w:t>
            </w:r>
          </w:p>
        </w:tc>
      </w:tr>
      <w:tr w:rsidR="00C54BE9" w:rsidRPr="00C54BE9" w14:paraId="67DBB603" w14:textId="77777777" w:rsidTr="00D210D0">
        <w:trPr>
          <w:trHeight w:val="300"/>
        </w:trPr>
        <w:tc>
          <w:tcPr>
            <w:tcW w:w="1885" w:type="dxa"/>
            <w:hideMark/>
          </w:tcPr>
          <w:p w14:paraId="3FC6F614" w14:textId="77777777" w:rsidR="00C54BE9" w:rsidRPr="00C54BE9" w:rsidRDefault="00C54BE9" w:rsidP="00C54BE9">
            <w:pPr>
              <w:spacing w:after="0" w:line="240" w:lineRule="auto"/>
              <w:jc w:val="left"/>
            </w:pPr>
            <w:r w:rsidRPr="00C54BE9">
              <w:t>Research &amp; Development </w:t>
            </w:r>
          </w:p>
        </w:tc>
        <w:tc>
          <w:tcPr>
            <w:tcW w:w="4950" w:type="dxa"/>
            <w:noWrap/>
            <w:hideMark/>
          </w:tcPr>
          <w:p w14:paraId="4EDB27AB" w14:textId="77777777" w:rsidR="00C54BE9" w:rsidRPr="00C54BE9" w:rsidRDefault="00C54BE9" w:rsidP="00C54BE9">
            <w:pPr>
              <w:spacing w:after="0" w:line="240" w:lineRule="auto"/>
              <w:jc w:val="left"/>
            </w:pPr>
            <w:r w:rsidRPr="00C54BE9">
              <w:t xml:space="preserve">UWBR: commissioning </w:t>
            </w:r>
          </w:p>
        </w:tc>
        <w:tc>
          <w:tcPr>
            <w:tcW w:w="1620" w:type="dxa"/>
            <w:noWrap/>
            <w:hideMark/>
          </w:tcPr>
          <w:p w14:paraId="488DB31F" w14:textId="77777777" w:rsidR="00C54BE9" w:rsidRPr="00C54BE9" w:rsidRDefault="00C54BE9" w:rsidP="00C54BE9">
            <w:pPr>
              <w:spacing w:after="0" w:line="240" w:lineRule="auto"/>
              <w:jc w:val="left"/>
            </w:pPr>
            <w:r w:rsidRPr="00C54BE9">
              <w:t> </w:t>
            </w:r>
          </w:p>
        </w:tc>
        <w:tc>
          <w:tcPr>
            <w:tcW w:w="1440" w:type="dxa"/>
            <w:noWrap/>
            <w:hideMark/>
          </w:tcPr>
          <w:p w14:paraId="7F1D8A98" w14:textId="77777777" w:rsidR="00C54BE9" w:rsidRPr="00C54BE9" w:rsidRDefault="00C54BE9" w:rsidP="00C54BE9">
            <w:pPr>
              <w:spacing w:after="0" w:line="240" w:lineRule="auto"/>
              <w:jc w:val="left"/>
            </w:pPr>
            <w:r w:rsidRPr="00C54BE9">
              <w:t> </w:t>
            </w:r>
          </w:p>
        </w:tc>
        <w:tc>
          <w:tcPr>
            <w:tcW w:w="1440" w:type="dxa"/>
            <w:noWrap/>
            <w:hideMark/>
          </w:tcPr>
          <w:p w14:paraId="2B5ADD5C" w14:textId="77777777" w:rsidR="00C54BE9" w:rsidRPr="00C54BE9" w:rsidRDefault="00C54BE9" w:rsidP="00C54BE9">
            <w:pPr>
              <w:spacing w:after="0" w:line="240" w:lineRule="auto"/>
              <w:jc w:val="left"/>
            </w:pPr>
            <w:r w:rsidRPr="00C54BE9">
              <w:t> </w:t>
            </w:r>
          </w:p>
        </w:tc>
        <w:tc>
          <w:tcPr>
            <w:tcW w:w="1400" w:type="dxa"/>
            <w:noWrap/>
            <w:hideMark/>
          </w:tcPr>
          <w:p w14:paraId="57EADAE0" w14:textId="159015F2" w:rsidR="00C54BE9" w:rsidRPr="00C54BE9" w:rsidRDefault="00C54BE9" w:rsidP="00C54BE9">
            <w:pPr>
              <w:spacing w:after="0" w:line="240" w:lineRule="auto"/>
              <w:jc w:val="left"/>
            </w:pPr>
            <w:r w:rsidRPr="00C54BE9">
              <w:t>Sc.</w:t>
            </w:r>
            <w:r w:rsidR="00BE742D">
              <w:t>21</w:t>
            </w:r>
          </w:p>
        </w:tc>
      </w:tr>
      <w:tr w:rsidR="00C54BE9" w:rsidRPr="00C54BE9" w14:paraId="1F88F1AB" w14:textId="77777777" w:rsidTr="00D210D0">
        <w:trPr>
          <w:trHeight w:val="300"/>
        </w:trPr>
        <w:tc>
          <w:tcPr>
            <w:tcW w:w="1885" w:type="dxa"/>
            <w:hideMark/>
          </w:tcPr>
          <w:p w14:paraId="72E28DD8" w14:textId="77777777" w:rsidR="00C54BE9" w:rsidRPr="00C54BE9" w:rsidRDefault="00C54BE9" w:rsidP="00C54BE9">
            <w:pPr>
              <w:spacing w:after="0" w:line="240" w:lineRule="auto"/>
              <w:jc w:val="left"/>
            </w:pPr>
            <w:r w:rsidRPr="00C54BE9">
              <w:t>Research &amp; Development </w:t>
            </w:r>
          </w:p>
        </w:tc>
        <w:tc>
          <w:tcPr>
            <w:tcW w:w="4950" w:type="dxa"/>
            <w:noWrap/>
            <w:hideMark/>
          </w:tcPr>
          <w:p w14:paraId="786881DD" w14:textId="77777777" w:rsidR="00C54BE9" w:rsidRPr="00C54BE9" w:rsidRDefault="00C54BE9" w:rsidP="00C54BE9">
            <w:pPr>
              <w:spacing w:after="0" w:line="240" w:lineRule="auto"/>
              <w:jc w:val="left"/>
            </w:pPr>
            <w:r w:rsidRPr="00C54BE9">
              <w:t xml:space="preserve">Support UWBR: commissioning </w:t>
            </w:r>
          </w:p>
        </w:tc>
        <w:tc>
          <w:tcPr>
            <w:tcW w:w="1620" w:type="dxa"/>
            <w:noWrap/>
            <w:hideMark/>
          </w:tcPr>
          <w:p w14:paraId="5C4AF8CA" w14:textId="77777777" w:rsidR="00C54BE9" w:rsidRPr="00C54BE9" w:rsidRDefault="00C54BE9" w:rsidP="00C54BE9">
            <w:pPr>
              <w:spacing w:after="0" w:line="240" w:lineRule="auto"/>
              <w:jc w:val="left"/>
            </w:pPr>
            <w:r w:rsidRPr="00C54BE9">
              <w:t> </w:t>
            </w:r>
          </w:p>
        </w:tc>
        <w:tc>
          <w:tcPr>
            <w:tcW w:w="1440" w:type="dxa"/>
            <w:noWrap/>
            <w:hideMark/>
          </w:tcPr>
          <w:p w14:paraId="433740D0" w14:textId="77777777" w:rsidR="00C54BE9" w:rsidRPr="00C54BE9" w:rsidRDefault="00C54BE9" w:rsidP="00C54BE9">
            <w:pPr>
              <w:spacing w:after="0" w:line="240" w:lineRule="auto"/>
              <w:jc w:val="left"/>
            </w:pPr>
            <w:r w:rsidRPr="00C54BE9">
              <w:t> </w:t>
            </w:r>
          </w:p>
        </w:tc>
        <w:tc>
          <w:tcPr>
            <w:tcW w:w="1440" w:type="dxa"/>
            <w:noWrap/>
            <w:hideMark/>
          </w:tcPr>
          <w:p w14:paraId="39BE46D3" w14:textId="77777777" w:rsidR="00C54BE9" w:rsidRPr="00C54BE9" w:rsidRDefault="00C54BE9" w:rsidP="00C54BE9">
            <w:pPr>
              <w:spacing w:after="0" w:line="240" w:lineRule="auto"/>
              <w:jc w:val="left"/>
            </w:pPr>
            <w:r w:rsidRPr="00C54BE9">
              <w:t> </w:t>
            </w:r>
          </w:p>
        </w:tc>
        <w:tc>
          <w:tcPr>
            <w:tcW w:w="1400" w:type="dxa"/>
            <w:noWrap/>
            <w:hideMark/>
          </w:tcPr>
          <w:p w14:paraId="53AFEFA2" w14:textId="77777777" w:rsidR="00C54BE9" w:rsidRPr="00C54BE9" w:rsidRDefault="00C54BE9" w:rsidP="00C54BE9">
            <w:pPr>
              <w:spacing w:after="0" w:line="240" w:lineRule="auto"/>
              <w:jc w:val="left"/>
            </w:pPr>
            <w:r w:rsidRPr="00C54BE9">
              <w:t>So.8</w:t>
            </w:r>
          </w:p>
        </w:tc>
      </w:tr>
      <w:tr w:rsidR="00C54BE9" w:rsidRPr="00C54BE9" w14:paraId="7A388D00" w14:textId="77777777" w:rsidTr="00D210D0">
        <w:trPr>
          <w:trHeight w:val="300"/>
        </w:trPr>
        <w:tc>
          <w:tcPr>
            <w:tcW w:w="1885" w:type="dxa"/>
            <w:hideMark/>
          </w:tcPr>
          <w:p w14:paraId="63AC0276" w14:textId="77777777" w:rsidR="00C54BE9" w:rsidRPr="00C54BE9" w:rsidRDefault="00C54BE9" w:rsidP="00C54BE9">
            <w:pPr>
              <w:spacing w:after="0" w:line="240" w:lineRule="auto"/>
              <w:jc w:val="left"/>
            </w:pPr>
            <w:r w:rsidRPr="00C54BE9">
              <w:t>Research &amp; Development </w:t>
            </w:r>
          </w:p>
        </w:tc>
        <w:tc>
          <w:tcPr>
            <w:tcW w:w="4950" w:type="dxa"/>
            <w:noWrap/>
            <w:hideMark/>
          </w:tcPr>
          <w:p w14:paraId="58E764CC" w14:textId="77777777" w:rsidR="00C54BE9" w:rsidRPr="00C54BE9" w:rsidRDefault="00C54BE9" w:rsidP="00C54BE9">
            <w:pPr>
              <w:spacing w:after="0" w:line="240" w:lineRule="auto"/>
              <w:jc w:val="left"/>
            </w:pPr>
            <w:r w:rsidRPr="00C54BE9">
              <w:t>UWBR: Closeout Report</w:t>
            </w:r>
          </w:p>
        </w:tc>
        <w:tc>
          <w:tcPr>
            <w:tcW w:w="1620" w:type="dxa"/>
            <w:noWrap/>
            <w:hideMark/>
          </w:tcPr>
          <w:p w14:paraId="4012D095" w14:textId="77777777" w:rsidR="00C54BE9" w:rsidRPr="00C54BE9" w:rsidRDefault="00C54BE9" w:rsidP="00C54BE9">
            <w:pPr>
              <w:spacing w:after="0" w:line="240" w:lineRule="auto"/>
              <w:jc w:val="left"/>
            </w:pPr>
            <w:r w:rsidRPr="00C54BE9">
              <w:t> </w:t>
            </w:r>
          </w:p>
        </w:tc>
        <w:tc>
          <w:tcPr>
            <w:tcW w:w="1440" w:type="dxa"/>
            <w:noWrap/>
            <w:hideMark/>
          </w:tcPr>
          <w:p w14:paraId="2CD8C23E" w14:textId="77777777" w:rsidR="00C54BE9" w:rsidRPr="00C54BE9" w:rsidRDefault="00C54BE9" w:rsidP="00C54BE9">
            <w:pPr>
              <w:spacing w:after="0" w:line="240" w:lineRule="auto"/>
              <w:jc w:val="left"/>
            </w:pPr>
            <w:r w:rsidRPr="00C54BE9">
              <w:t> </w:t>
            </w:r>
          </w:p>
        </w:tc>
        <w:tc>
          <w:tcPr>
            <w:tcW w:w="1440" w:type="dxa"/>
            <w:noWrap/>
            <w:hideMark/>
          </w:tcPr>
          <w:p w14:paraId="12A07D66" w14:textId="77777777" w:rsidR="00C54BE9" w:rsidRPr="00C54BE9" w:rsidRDefault="00C54BE9" w:rsidP="00C54BE9">
            <w:pPr>
              <w:spacing w:after="0" w:line="240" w:lineRule="auto"/>
              <w:jc w:val="left"/>
            </w:pPr>
            <w:r w:rsidRPr="00C54BE9">
              <w:t> </w:t>
            </w:r>
          </w:p>
        </w:tc>
        <w:tc>
          <w:tcPr>
            <w:tcW w:w="1400" w:type="dxa"/>
            <w:noWrap/>
            <w:hideMark/>
          </w:tcPr>
          <w:p w14:paraId="31F7605D" w14:textId="77777777" w:rsidR="00C54BE9" w:rsidRPr="00C54BE9" w:rsidRDefault="00C54BE9" w:rsidP="00C54BE9">
            <w:pPr>
              <w:spacing w:after="0" w:line="240" w:lineRule="auto"/>
              <w:jc w:val="left"/>
            </w:pPr>
            <w:r w:rsidRPr="00C54BE9">
              <w:t>PM.2</w:t>
            </w:r>
          </w:p>
        </w:tc>
      </w:tr>
    </w:tbl>
    <w:p w14:paraId="46E037CC" w14:textId="479489EC" w:rsidR="00C54BE9" w:rsidRPr="00D210D0" w:rsidRDefault="00C54BE9" w:rsidP="0095748B">
      <w:pPr>
        <w:spacing w:after="0" w:line="240" w:lineRule="auto"/>
        <w:jc w:val="left"/>
        <w:rPr>
          <w:sz w:val="16"/>
          <w:szCs w:val="16"/>
        </w:rPr>
      </w:pPr>
    </w:p>
    <w:tbl>
      <w:tblPr>
        <w:tblStyle w:val="TableGrid"/>
        <w:tblW w:w="0" w:type="auto"/>
        <w:tblLook w:val="04A0" w:firstRow="1" w:lastRow="0" w:firstColumn="1" w:lastColumn="0" w:noHBand="0" w:noVBand="1"/>
      </w:tblPr>
      <w:tblGrid>
        <w:gridCol w:w="6835"/>
        <w:gridCol w:w="5900"/>
      </w:tblGrid>
      <w:tr w:rsidR="00D210D0" w:rsidRPr="00C54BE9" w14:paraId="6F952E6A" w14:textId="77777777" w:rsidTr="00D210D0">
        <w:trPr>
          <w:trHeight w:val="288"/>
          <w:tblHeader/>
        </w:trPr>
        <w:tc>
          <w:tcPr>
            <w:tcW w:w="6835" w:type="dxa"/>
            <w:shd w:val="clear" w:color="auto" w:fill="DBE5F1" w:themeFill="accent1" w:themeFillTint="33"/>
            <w:hideMark/>
          </w:tcPr>
          <w:p w14:paraId="3795EEFE" w14:textId="77777777" w:rsidR="00D210D0" w:rsidRPr="00C54BE9" w:rsidRDefault="00D210D0" w:rsidP="00175889">
            <w:pPr>
              <w:spacing w:after="0" w:line="240" w:lineRule="auto"/>
              <w:jc w:val="left"/>
              <w:rPr>
                <w:b/>
                <w:bCs/>
              </w:rPr>
            </w:pPr>
            <w:r w:rsidRPr="00C54BE9">
              <w:rPr>
                <w:b/>
                <w:bCs/>
              </w:rPr>
              <w:t>Milestones:</w:t>
            </w:r>
          </w:p>
        </w:tc>
        <w:tc>
          <w:tcPr>
            <w:tcW w:w="5900" w:type="dxa"/>
            <w:shd w:val="clear" w:color="auto" w:fill="DBE5F1" w:themeFill="accent1" w:themeFillTint="33"/>
            <w:hideMark/>
          </w:tcPr>
          <w:p w14:paraId="0DFE4B23" w14:textId="77777777" w:rsidR="00D210D0" w:rsidRPr="00C54BE9" w:rsidRDefault="00D210D0" w:rsidP="00175889">
            <w:pPr>
              <w:spacing w:after="0" w:line="240" w:lineRule="auto"/>
              <w:jc w:val="left"/>
              <w:rPr>
                <w:b/>
                <w:bCs/>
              </w:rPr>
            </w:pPr>
            <w:r w:rsidRPr="00C54BE9">
              <w:rPr>
                <w:b/>
                <w:bCs/>
              </w:rPr>
              <w:t>Deliverables:</w:t>
            </w:r>
          </w:p>
        </w:tc>
      </w:tr>
      <w:tr w:rsidR="00D210D0" w:rsidRPr="00A25D57" w14:paraId="6FE3C1EC" w14:textId="77777777" w:rsidTr="004812EF">
        <w:trPr>
          <w:trHeight w:val="288"/>
        </w:trPr>
        <w:tc>
          <w:tcPr>
            <w:tcW w:w="6835" w:type="dxa"/>
            <w:shd w:val="clear" w:color="auto" w:fill="EEF3F8"/>
            <w:hideMark/>
          </w:tcPr>
          <w:p w14:paraId="49229B42" w14:textId="77777777" w:rsidR="00D210D0" w:rsidRPr="00A25D57" w:rsidRDefault="00D210D0" w:rsidP="00175889">
            <w:pPr>
              <w:spacing w:after="0" w:line="240" w:lineRule="auto"/>
              <w:jc w:val="left"/>
              <w:rPr>
                <w:sz w:val="20"/>
                <w:szCs w:val="20"/>
              </w:rPr>
            </w:pPr>
            <w:r w:rsidRPr="00A25D57">
              <w:rPr>
                <w:sz w:val="20"/>
                <w:szCs w:val="20"/>
              </w:rPr>
              <w:t>A.1. GBO Advisory Council meeting</w:t>
            </w:r>
          </w:p>
        </w:tc>
        <w:tc>
          <w:tcPr>
            <w:tcW w:w="5900" w:type="dxa"/>
            <w:shd w:val="clear" w:color="auto" w:fill="EEF3F8"/>
            <w:hideMark/>
          </w:tcPr>
          <w:p w14:paraId="4FAB0B77" w14:textId="77777777" w:rsidR="00D210D0" w:rsidRPr="00A25D57" w:rsidRDefault="00D210D0" w:rsidP="00175889">
            <w:pPr>
              <w:spacing w:after="0" w:line="240" w:lineRule="auto"/>
              <w:jc w:val="left"/>
              <w:rPr>
                <w:sz w:val="20"/>
                <w:szCs w:val="20"/>
              </w:rPr>
            </w:pPr>
            <w:r w:rsidRPr="00A25D57">
              <w:rPr>
                <w:sz w:val="20"/>
                <w:szCs w:val="20"/>
              </w:rPr>
              <w:t>A.1. Advisory Council meeting minutes</w:t>
            </w:r>
          </w:p>
        </w:tc>
      </w:tr>
      <w:tr w:rsidR="00D210D0" w:rsidRPr="00A25D57" w14:paraId="2075978F" w14:textId="77777777" w:rsidTr="004812EF">
        <w:trPr>
          <w:trHeight w:val="288"/>
        </w:trPr>
        <w:tc>
          <w:tcPr>
            <w:tcW w:w="6835" w:type="dxa"/>
            <w:shd w:val="clear" w:color="auto" w:fill="EEF3F8"/>
            <w:hideMark/>
          </w:tcPr>
          <w:p w14:paraId="0F9377F1" w14:textId="77777777" w:rsidR="00D210D0" w:rsidRPr="00A25D57" w:rsidRDefault="00D210D0" w:rsidP="00175889">
            <w:pPr>
              <w:spacing w:after="0" w:line="240" w:lineRule="auto"/>
              <w:jc w:val="left"/>
              <w:rPr>
                <w:sz w:val="20"/>
                <w:szCs w:val="20"/>
              </w:rPr>
            </w:pPr>
            <w:r w:rsidRPr="00A25D57">
              <w:rPr>
                <w:sz w:val="20"/>
                <w:szCs w:val="20"/>
              </w:rPr>
              <w:t>A.2. AUI/GBO Visiting Committee meeting</w:t>
            </w:r>
          </w:p>
        </w:tc>
        <w:tc>
          <w:tcPr>
            <w:tcW w:w="5900" w:type="dxa"/>
            <w:shd w:val="clear" w:color="auto" w:fill="EEF3F8"/>
            <w:hideMark/>
          </w:tcPr>
          <w:p w14:paraId="276D201C" w14:textId="77777777" w:rsidR="00D210D0" w:rsidRPr="00A25D57" w:rsidRDefault="00D210D0" w:rsidP="00175889">
            <w:pPr>
              <w:spacing w:after="0" w:line="240" w:lineRule="auto"/>
              <w:jc w:val="left"/>
              <w:rPr>
                <w:sz w:val="20"/>
                <w:szCs w:val="20"/>
              </w:rPr>
            </w:pPr>
            <w:r w:rsidRPr="00A25D57">
              <w:rPr>
                <w:sz w:val="20"/>
                <w:szCs w:val="20"/>
              </w:rPr>
              <w:t>A.2. Visiting Committee Presentations</w:t>
            </w:r>
          </w:p>
        </w:tc>
      </w:tr>
      <w:tr w:rsidR="00D210D0" w:rsidRPr="00A25D57" w14:paraId="4CF3684E" w14:textId="77777777" w:rsidTr="004812EF">
        <w:trPr>
          <w:trHeight w:val="288"/>
        </w:trPr>
        <w:tc>
          <w:tcPr>
            <w:tcW w:w="6835" w:type="dxa"/>
            <w:shd w:val="clear" w:color="auto" w:fill="EEF3F8"/>
            <w:hideMark/>
          </w:tcPr>
          <w:p w14:paraId="5A440411" w14:textId="77777777" w:rsidR="00D210D0" w:rsidRPr="00A25D57" w:rsidRDefault="00D210D0" w:rsidP="00175889">
            <w:pPr>
              <w:spacing w:after="0" w:line="240" w:lineRule="auto"/>
              <w:jc w:val="left"/>
              <w:rPr>
                <w:sz w:val="20"/>
                <w:szCs w:val="20"/>
              </w:rPr>
            </w:pPr>
            <w:r w:rsidRPr="00A25D57">
              <w:rPr>
                <w:sz w:val="20"/>
                <w:szCs w:val="20"/>
              </w:rPr>
              <w:t>A.3. NRAO/GBO User’s Committee meeting</w:t>
            </w:r>
          </w:p>
        </w:tc>
        <w:tc>
          <w:tcPr>
            <w:tcW w:w="5900" w:type="dxa"/>
            <w:shd w:val="clear" w:color="auto" w:fill="EEF3F8"/>
            <w:hideMark/>
          </w:tcPr>
          <w:p w14:paraId="7E5CE613" w14:textId="77777777" w:rsidR="00D210D0" w:rsidRPr="00A25D57" w:rsidRDefault="00D210D0" w:rsidP="00175889">
            <w:pPr>
              <w:spacing w:after="0" w:line="240" w:lineRule="auto"/>
              <w:jc w:val="left"/>
              <w:rPr>
                <w:sz w:val="20"/>
                <w:szCs w:val="20"/>
              </w:rPr>
            </w:pPr>
            <w:r w:rsidRPr="00A25D57">
              <w:rPr>
                <w:sz w:val="20"/>
                <w:szCs w:val="20"/>
              </w:rPr>
              <w:t>A.3. User’s Committee Presentations</w:t>
            </w:r>
          </w:p>
        </w:tc>
      </w:tr>
      <w:tr w:rsidR="00D210D0" w:rsidRPr="00A25D57" w14:paraId="61C7C443" w14:textId="77777777" w:rsidTr="004812EF">
        <w:trPr>
          <w:trHeight w:val="288"/>
        </w:trPr>
        <w:tc>
          <w:tcPr>
            <w:tcW w:w="6835" w:type="dxa"/>
            <w:shd w:val="clear" w:color="auto" w:fill="EEF3F8"/>
            <w:hideMark/>
          </w:tcPr>
          <w:p w14:paraId="30F5467D" w14:textId="77777777" w:rsidR="00D210D0" w:rsidRPr="00A25D57" w:rsidRDefault="00D210D0" w:rsidP="00175889">
            <w:pPr>
              <w:spacing w:after="0" w:line="240" w:lineRule="auto"/>
              <w:jc w:val="left"/>
              <w:rPr>
                <w:sz w:val="20"/>
                <w:szCs w:val="20"/>
              </w:rPr>
            </w:pPr>
            <w:r w:rsidRPr="00A25D57">
              <w:rPr>
                <w:sz w:val="20"/>
                <w:szCs w:val="20"/>
              </w:rPr>
              <w:t>A.4. Review and negotiate SLAs with NRAO</w:t>
            </w:r>
          </w:p>
        </w:tc>
        <w:tc>
          <w:tcPr>
            <w:tcW w:w="5900" w:type="dxa"/>
            <w:shd w:val="clear" w:color="auto" w:fill="EEF3F8"/>
            <w:hideMark/>
          </w:tcPr>
          <w:p w14:paraId="4C9DEE32" w14:textId="77777777" w:rsidR="00D210D0" w:rsidRPr="00A25D57" w:rsidRDefault="00D210D0" w:rsidP="00175889">
            <w:pPr>
              <w:spacing w:after="0" w:line="240" w:lineRule="auto"/>
              <w:jc w:val="left"/>
              <w:rPr>
                <w:sz w:val="20"/>
                <w:szCs w:val="20"/>
              </w:rPr>
            </w:pPr>
            <w:r w:rsidRPr="00A25D57">
              <w:rPr>
                <w:sz w:val="20"/>
                <w:szCs w:val="20"/>
              </w:rPr>
              <w:t>A.4. FY2022 SLAs established</w:t>
            </w:r>
          </w:p>
        </w:tc>
      </w:tr>
      <w:tr w:rsidR="00D210D0" w:rsidRPr="00A25D57" w14:paraId="02174F44" w14:textId="77777777" w:rsidTr="00D210D0">
        <w:trPr>
          <w:trHeight w:val="288"/>
        </w:trPr>
        <w:tc>
          <w:tcPr>
            <w:tcW w:w="6835" w:type="dxa"/>
            <w:hideMark/>
          </w:tcPr>
          <w:p w14:paraId="47C11ED9" w14:textId="77777777" w:rsidR="00D210D0" w:rsidRPr="00A25D57" w:rsidRDefault="00D210D0" w:rsidP="00175889">
            <w:pPr>
              <w:spacing w:after="0" w:line="240" w:lineRule="auto"/>
              <w:jc w:val="left"/>
              <w:rPr>
                <w:sz w:val="20"/>
                <w:szCs w:val="20"/>
              </w:rPr>
            </w:pPr>
            <w:r w:rsidRPr="00A25D57">
              <w:rPr>
                <w:sz w:val="20"/>
                <w:szCs w:val="20"/>
              </w:rPr>
              <w:t>B.1. Indirect Rate submission</w:t>
            </w:r>
          </w:p>
        </w:tc>
        <w:tc>
          <w:tcPr>
            <w:tcW w:w="5900" w:type="dxa"/>
            <w:hideMark/>
          </w:tcPr>
          <w:p w14:paraId="56C942DF" w14:textId="77777777" w:rsidR="00D210D0" w:rsidRPr="00A25D57" w:rsidRDefault="00D210D0" w:rsidP="00175889">
            <w:pPr>
              <w:spacing w:after="0" w:line="240" w:lineRule="auto"/>
              <w:jc w:val="left"/>
              <w:rPr>
                <w:sz w:val="20"/>
                <w:szCs w:val="20"/>
              </w:rPr>
            </w:pPr>
            <w:r w:rsidRPr="00A25D57">
              <w:rPr>
                <w:sz w:val="20"/>
                <w:szCs w:val="20"/>
              </w:rPr>
              <w:t>B.1. Indirect Rate proposal to NSF</w:t>
            </w:r>
          </w:p>
        </w:tc>
      </w:tr>
      <w:tr w:rsidR="00D210D0" w:rsidRPr="00A25D57" w14:paraId="61B27944" w14:textId="77777777" w:rsidTr="00D210D0">
        <w:trPr>
          <w:trHeight w:val="288"/>
        </w:trPr>
        <w:tc>
          <w:tcPr>
            <w:tcW w:w="6835" w:type="dxa"/>
            <w:hideMark/>
          </w:tcPr>
          <w:p w14:paraId="5348868B" w14:textId="77777777" w:rsidR="00D210D0" w:rsidRPr="00A25D57" w:rsidRDefault="00D210D0" w:rsidP="00175889">
            <w:pPr>
              <w:spacing w:after="0" w:line="240" w:lineRule="auto"/>
              <w:jc w:val="left"/>
              <w:rPr>
                <w:sz w:val="20"/>
                <w:szCs w:val="20"/>
              </w:rPr>
            </w:pPr>
            <w:r w:rsidRPr="00A25D57">
              <w:rPr>
                <w:sz w:val="20"/>
                <w:szCs w:val="20"/>
              </w:rPr>
              <w:t>B.2. FY2022 Operating Budget</w:t>
            </w:r>
          </w:p>
        </w:tc>
        <w:tc>
          <w:tcPr>
            <w:tcW w:w="5900" w:type="dxa"/>
            <w:hideMark/>
          </w:tcPr>
          <w:p w14:paraId="205E6E19" w14:textId="77777777" w:rsidR="00D210D0" w:rsidRPr="00A25D57" w:rsidRDefault="00D210D0" w:rsidP="00175889">
            <w:pPr>
              <w:spacing w:after="0" w:line="240" w:lineRule="auto"/>
              <w:jc w:val="left"/>
              <w:rPr>
                <w:sz w:val="20"/>
                <w:szCs w:val="20"/>
              </w:rPr>
            </w:pPr>
            <w:r w:rsidRPr="00A25D57">
              <w:rPr>
                <w:sz w:val="20"/>
                <w:szCs w:val="20"/>
              </w:rPr>
              <w:t>B.2. Operating FY2022 Budget proposal to NSF</w:t>
            </w:r>
          </w:p>
        </w:tc>
      </w:tr>
      <w:tr w:rsidR="00D210D0" w:rsidRPr="00A25D57" w14:paraId="61AFDB9C" w14:textId="77777777" w:rsidTr="00D210D0">
        <w:trPr>
          <w:trHeight w:val="288"/>
        </w:trPr>
        <w:tc>
          <w:tcPr>
            <w:tcW w:w="6835" w:type="dxa"/>
            <w:hideMark/>
          </w:tcPr>
          <w:p w14:paraId="16E30AC9" w14:textId="77777777" w:rsidR="00D210D0" w:rsidRPr="00A25D57" w:rsidRDefault="00D210D0" w:rsidP="00175889">
            <w:pPr>
              <w:spacing w:after="0" w:line="240" w:lineRule="auto"/>
              <w:jc w:val="left"/>
              <w:rPr>
                <w:sz w:val="20"/>
                <w:szCs w:val="20"/>
              </w:rPr>
            </w:pPr>
            <w:r w:rsidRPr="00A25D57">
              <w:rPr>
                <w:sz w:val="20"/>
                <w:szCs w:val="20"/>
              </w:rPr>
              <w:t>B.3. Facilities Reports</w:t>
            </w:r>
          </w:p>
        </w:tc>
        <w:tc>
          <w:tcPr>
            <w:tcW w:w="5900" w:type="dxa"/>
            <w:hideMark/>
          </w:tcPr>
          <w:p w14:paraId="1F2175C5" w14:textId="77777777" w:rsidR="00D210D0" w:rsidRPr="00A25D57" w:rsidRDefault="00D210D0" w:rsidP="00175889">
            <w:pPr>
              <w:spacing w:after="0" w:line="240" w:lineRule="auto"/>
              <w:jc w:val="left"/>
              <w:rPr>
                <w:sz w:val="20"/>
                <w:szCs w:val="20"/>
              </w:rPr>
            </w:pPr>
            <w:r w:rsidRPr="00A25D57">
              <w:rPr>
                <w:sz w:val="20"/>
                <w:szCs w:val="20"/>
              </w:rPr>
              <w:t>B.3. Facilities Reports developed to NSF</w:t>
            </w:r>
          </w:p>
        </w:tc>
      </w:tr>
      <w:tr w:rsidR="00D210D0" w:rsidRPr="00A25D57" w14:paraId="2891D0A8" w14:textId="77777777" w:rsidTr="00D210D0">
        <w:trPr>
          <w:trHeight w:val="288"/>
        </w:trPr>
        <w:tc>
          <w:tcPr>
            <w:tcW w:w="6835" w:type="dxa"/>
            <w:hideMark/>
          </w:tcPr>
          <w:p w14:paraId="3288CFBB" w14:textId="77777777" w:rsidR="00D210D0" w:rsidRPr="00A25D57" w:rsidRDefault="00D210D0" w:rsidP="00175889">
            <w:pPr>
              <w:spacing w:after="0" w:line="240" w:lineRule="auto"/>
              <w:jc w:val="left"/>
              <w:rPr>
                <w:sz w:val="20"/>
                <w:szCs w:val="20"/>
              </w:rPr>
            </w:pPr>
            <w:r w:rsidRPr="00A25D57">
              <w:rPr>
                <w:sz w:val="20"/>
                <w:szCs w:val="20"/>
              </w:rPr>
              <w:t>B.4 Master Site Plan</w:t>
            </w:r>
          </w:p>
        </w:tc>
        <w:tc>
          <w:tcPr>
            <w:tcW w:w="5900" w:type="dxa"/>
            <w:hideMark/>
          </w:tcPr>
          <w:p w14:paraId="45960D87" w14:textId="77777777" w:rsidR="00D210D0" w:rsidRPr="00A25D57" w:rsidRDefault="00D210D0" w:rsidP="00175889">
            <w:pPr>
              <w:spacing w:after="0" w:line="240" w:lineRule="auto"/>
              <w:jc w:val="left"/>
              <w:rPr>
                <w:sz w:val="20"/>
                <w:szCs w:val="20"/>
              </w:rPr>
            </w:pPr>
            <w:r w:rsidRPr="00A25D57">
              <w:rPr>
                <w:sz w:val="20"/>
                <w:szCs w:val="20"/>
              </w:rPr>
              <w:t>B.4. Master Site Plan submitted to NSF</w:t>
            </w:r>
          </w:p>
        </w:tc>
      </w:tr>
      <w:tr w:rsidR="00D210D0" w:rsidRPr="00A25D57" w14:paraId="4D2C68AA" w14:textId="77777777" w:rsidTr="00D210D0">
        <w:trPr>
          <w:trHeight w:val="300"/>
        </w:trPr>
        <w:tc>
          <w:tcPr>
            <w:tcW w:w="6835" w:type="dxa"/>
            <w:hideMark/>
          </w:tcPr>
          <w:p w14:paraId="7CFE83FC" w14:textId="77777777" w:rsidR="00D210D0" w:rsidRPr="00A25D57" w:rsidRDefault="00D210D0" w:rsidP="00175889">
            <w:pPr>
              <w:spacing w:after="0" w:line="240" w:lineRule="auto"/>
              <w:jc w:val="left"/>
              <w:rPr>
                <w:sz w:val="20"/>
                <w:szCs w:val="20"/>
              </w:rPr>
            </w:pPr>
            <w:r w:rsidRPr="00A25D57">
              <w:rPr>
                <w:sz w:val="20"/>
                <w:szCs w:val="20"/>
              </w:rPr>
              <w:t>B.5. Inventory reports</w:t>
            </w:r>
          </w:p>
        </w:tc>
        <w:tc>
          <w:tcPr>
            <w:tcW w:w="5900" w:type="dxa"/>
            <w:hideMark/>
          </w:tcPr>
          <w:p w14:paraId="4B1A5B46" w14:textId="77777777" w:rsidR="00D210D0" w:rsidRPr="00A25D57" w:rsidRDefault="00D210D0" w:rsidP="00175889">
            <w:pPr>
              <w:spacing w:after="0" w:line="240" w:lineRule="auto"/>
              <w:jc w:val="left"/>
              <w:rPr>
                <w:sz w:val="20"/>
                <w:szCs w:val="20"/>
              </w:rPr>
            </w:pPr>
            <w:r w:rsidRPr="00A25D57">
              <w:rPr>
                <w:sz w:val="20"/>
                <w:szCs w:val="20"/>
              </w:rPr>
              <w:t>B.5. Inventory report filed with NSF</w:t>
            </w:r>
          </w:p>
        </w:tc>
      </w:tr>
      <w:tr w:rsidR="00D210D0" w:rsidRPr="00A25D57" w14:paraId="785A296F" w14:textId="77777777" w:rsidTr="004812EF">
        <w:trPr>
          <w:trHeight w:val="288"/>
        </w:trPr>
        <w:tc>
          <w:tcPr>
            <w:tcW w:w="6835" w:type="dxa"/>
            <w:shd w:val="clear" w:color="auto" w:fill="EEF3F8"/>
            <w:hideMark/>
          </w:tcPr>
          <w:p w14:paraId="3BB8329A" w14:textId="77777777" w:rsidR="00D210D0" w:rsidRPr="00A25D57" w:rsidRDefault="00D210D0" w:rsidP="00175889">
            <w:pPr>
              <w:spacing w:after="0" w:line="240" w:lineRule="auto"/>
              <w:jc w:val="left"/>
              <w:rPr>
                <w:sz w:val="20"/>
                <w:szCs w:val="20"/>
              </w:rPr>
            </w:pPr>
            <w:r w:rsidRPr="00A25D57">
              <w:rPr>
                <w:sz w:val="20"/>
                <w:szCs w:val="20"/>
              </w:rPr>
              <w:t>E.1. Detailed Active Surface hardware design</w:t>
            </w:r>
          </w:p>
        </w:tc>
        <w:tc>
          <w:tcPr>
            <w:tcW w:w="5900" w:type="dxa"/>
            <w:shd w:val="clear" w:color="auto" w:fill="EEF3F8"/>
            <w:hideMark/>
          </w:tcPr>
          <w:p w14:paraId="247A068E" w14:textId="77777777" w:rsidR="00D210D0" w:rsidRPr="00A25D57" w:rsidRDefault="00D210D0" w:rsidP="00175889">
            <w:pPr>
              <w:spacing w:after="0" w:line="240" w:lineRule="auto"/>
              <w:jc w:val="left"/>
              <w:rPr>
                <w:sz w:val="20"/>
                <w:szCs w:val="20"/>
              </w:rPr>
            </w:pPr>
            <w:r w:rsidRPr="00A25D57">
              <w:rPr>
                <w:sz w:val="20"/>
                <w:szCs w:val="20"/>
              </w:rPr>
              <w:t>E.1. Detailed Active Surface Hardware Design Document</w:t>
            </w:r>
          </w:p>
        </w:tc>
      </w:tr>
      <w:tr w:rsidR="00D210D0" w:rsidRPr="00A25D57" w14:paraId="48B4F9CC" w14:textId="77777777" w:rsidTr="004812EF">
        <w:trPr>
          <w:trHeight w:val="288"/>
        </w:trPr>
        <w:tc>
          <w:tcPr>
            <w:tcW w:w="6835" w:type="dxa"/>
            <w:shd w:val="clear" w:color="auto" w:fill="EEF3F8"/>
            <w:hideMark/>
          </w:tcPr>
          <w:p w14:paraId="35F47BD7" w14:textId="77777777" w:rsidR="00D210D0" w:rsidRPr="00A25D57" w:rsidRDefault="00D210D0" w:rsidP="00175889">
            <w:pPr>
              <w:spacing w:after="0" w:line="240" w:lineRule="auto"/>
              <w:jc w:val="left"/>
              <w:rPr>
                <w:sz w:val="20"/>
                <w:szCs w:val="20"/>
              </w:rPr>
            </w:pPr>
            <w:r w:rsidRPr="00A25D57">
              <w:rPr>
                <w:sz w:val="20"/>
                <w:szCs w:val="20"/>
              </w:rPr>
              <w:t>E.2. Detailed Active Surface Budget</w:t>
            </w:r>
          </w:p>
        </w:tc>
        <w:tc>
          <w:tcPr>
            <w:tcW w:w="5900" w:type="dxa"/>
            <w:shd w:val="clear" w:color="auto" w:fill="EEF3F8"/>
            <w:hideMark/>
          </w:tcPr>
          <w:p w14:paraId="7F3FABF6" w14:textId="77777777" w:rsidR="00D210D0" w:rsidRPr="00A25D57" w:rsidRDefault="00D210D0" w:rsidP="00175889">
            <w:pPr>
              <w:spacing w:after="0" w:line="240" w:lineRule="auto"/>
              <w:jc w:val="left"/>
              <w:rPr>
                <w:sz w:val="20"/>
                <w:szCs w:val="20"/>
              </w:rPr>
            </w:pPr>
            <w:r w:rsidRPr="00A25D57">
              <w:rPr>
                <w:sz w:val="20"/>
                <w:szCs w:val="20"/>
              </w:rPr>
              <w:t>E.2. Detailed Active Surface Upgrade Budget Developed</w:t>
            </w:r>
          </w:p>
        </w:tc>
      </w:tr>
      <w:tr w:rsidR="00D210D0" w:rsidRPr="00A25D57" w14:paraId="0DE376BC" w14:textId="77777777" w:rsidTr="004812EF">
        <w:trPr>
          <w:trHeight w:val="288"/>
        </w:trPr>
        <w:tc>
          <w:tcPr>
            <w:tcW w:w="6835" w:type="dxa"/>
            <w:shd w:val="clear" w:color="auto" w:fill="EEF3F8"/>
            <w:hideMark/>
          </w:tcPr>
          <w:p w14:paraId="61DFE3A5" w14:textId="77777777" w:rsidR="00D210D0" w:rsidRPr="00A25D57" w:rsidRDefault="00D210D0" w:rsidP="00175889">
            <w:pPr>
              <w:spacing w:after="0" w:line="240" w:lineRule="auto"/>
              <w:jc w:val="left"/>
              <w:rPr>
                <w:sz w:val="20"/>
                <w:szCs w:val="20"/>
              </w:rPr>
            </w:pPr>
            <w:r w:rsidRPr="00A25D57">
              <w:rPr>
                <w:sz w:val="20"/>
                <w:szCs w:val="20"/>
              </w:rPr>
              <w:t>E.3. Argus vane modifications completed</w:t>
            </w:r>
          </w:p>
        </w:tc>
        <w:tc>
          <w:tcPr>
            <w:tcW w:w="5900" w:type="dxa"/>
            <w:shd w:val="clear" w:color="auto" w:fill="EEF3F8"/>
            <w:hideMark/>
          </w:tcPr>
          <w:p w14:paraId="652D174B" w14:textId="77777777" w:rsidR="00D210D0" w:rsidRPr="00A25D57" w:rsidRDefault="00D210D0" w:rsidP="00175889">
            <w:pPr>
              <w:spacing w:after="0" w:line="240" w:lineRule="auto"/>
              <w:jc w:val="left"/>
              <w:rPr>
                <w:sz w:val="20"/>
                <w:szCs w:val="20"/>
              </w:rPr>
            </w:pPr>
            <w:r w:rsidRPr="00A25D57">
              <w:rPr>
                <w:sz w:val="20"/>
                <w:szCs w:val="20"/>
              </w:rPr>
              <w:t>E.3. Argus vane upgrade complete</w:t>
            </w:r>
          </w:p>
        </w:tc>
      </w:tr>
      <w:tr w:rsidR="00D210D0" w:rsidRPr="00A25D57" w14:paraId="295D129A" w14:textId="77777777" w:rsidTr="004812EF">
        <w:trPr>
          <w:trHeight w:val="288"/>
        </w:trPr>
        <w:tc>
          <w:tcPr>
            <w:tcW w:w="6835" w:type="dxa"/>
            <w:shd w:val="clear" w:color="auto" w:fill="EEF3F8"/>
            <w:hideMark/>
          </w:tcPr>
          <w:p w14:paraId="6A4EBFA5" w14:textId="77777777" w:rsidR="00D210D0" w:rsidRPr="00A25D57" w:rsidRDefault="00D210D0" w:rsidP="00175889">
            <w:pPr>
              <w:spacing w:after="0" w:line="240" w:lineRule="auto"/>
              <w:jc w:val="left"/>
              <w:rPr>
                <w:sz w:val="20"/>
                <w:szCs w:val="20"/>
              </w:rPr>
            </w:pPr>
            <w:r w:rsidRPr="00A25D57">
              <w:rPr>
                <w:sz w:val="20"/>
                <w:szCs w:val="20"/>
              </w:rPr>
              <w:lastRenderedPageBreak/>
              <w:t>E.4. X Band Receiver Hardware Assembly</w:t>
            </w:r>
          </w:p>
        </w:tc>
        <w:tc>
          <w:tcPr>
            <w:tcW w:w="5900" w:type="dxa"/>
            <w:shd w:val="clear" w:color="auto" w:fill="EEF3F8"/>
            <w:hideMark/>
          </w:tcPr>
          <w:p w14:paraId="6A1B035E" w14:textId="77777777" w:rsidR="00D210D0" w:rsidRPr="00A25D57" w:rsidRDefault="00D210D0" w:rsidP="00175889">
            <w:pPr>
              <w:spacing w:after="0" w:line="240" w:lineRule="auto"/>
              <w:jc w:val="left"/>
              <w:rPr>
                <w:sz w:val="20"/>
                <w:szCs w:val="20"/>
              </w:rPr>
            </w:pPr>
            <w:r w:rsidRPr="00A25D57">
              <w:rPr>
                <w:sz w:val="20"/>
                <w:szCs w:val="20"/>
              </w:rPr>
              <w:t>E.4. X band receiver hardware assembled and documented</w:t>
            </w:r>
          </w:p>
        </w:tc>
      </w:tr>
      <w:tr w:rsidR="00D210D0" w:rsidRPr="00A25D57" w14:paraId="702F95F8" w14:textId="77777777" w:rsidTr="004812EF">
        <w:trPr>
          <w:trHeight w:val="288"/>
        </w:trPr>
        <w:tc>
          <w:tcPr>
            <w:tcW w:w="6835" w:type="dxa"/>
            <w:shd w:val="clear" w:color="auto" w:fill="EEF3F8"/>
            <w:hideMark/>
          </w:tcPr>
          <w:p w14:paraId="729F7589" w14:textId="77777777" w:rsidR="00D210D0" w:rsidRPr="00A25D57" w:rsidRDefault="00D210D0" w:rsidP="00175889">
            <w:pPr>
              <w:spacing w:after="0" w:line="240" w:lineRule="auto"/>
              <w:jc w:val="left"/>
              <w:rPr>
                <w:sz w:val="20"/>
                <w:szCs w:val="20"/>
              </w:rPr>
            </w:pPr>
            <w:r w:rsidRPr="00A25D57">
              <w:rPr>
                <w:sz w:val="20"/>
                <w:szCs w:val="20"/>
              </w:rPr>
              <w:t>E.5. Initial X band hardware and software integration testing</w:t>
            </w:r>
          </w:p>
        </w:tc>
        <w:tc>
          <w:tcPr>
            <w:tcW w:w="5900" w:type="dxa"/>
            <w:shd w:val="clear" w:color="auto" w:fill="EEF3F8"/>
            <w:hideMark/>
          </w:tcPr>
          <w:p w14:paraId="6A6CEF92" w14:textId="77777777" w:rsidR="00D210D0" w:rsidRPr="00A25D57" w:rsidRDefault="00D210D0" w:rsidP="00175889">
            <w:pPr>
              <w:spacing w:after="0" w:line="240" w:lineRule="auto"/>
              <w:jc w:val="left"/>
              <w:rPr>
                <w:sz w:val="20"/>
                <w:szCs w:val="20"/>
              </w:rPr>
            </w:pPr>
            <w:r w:rsidRPr="00A25D57">
              <w:rPr>
                <w:sz w:val="20"/>
                <w:szCs w:val="20"/>
              </w:rPr>
              <w:t>E.5. X band initial integration tests completed and documented</w:t>
            </w:r>
          </w:p>
        </w:tc>
      </w:tr>
      <w:tr w:rsidR="00D210D0" w:rsidRPr="00A25D57" w14:paraId="0E9D5EB7" w14:textId="77777777" w:rsidTr="004812EF">
        <w:trPr>
          <w:trHeight w:val="288"/>
        </w:trPr>
        <w:tc>
          <w:tcPr>
            <w:tcW w:w="6835" w:type="dxa"/>
            <w:shd w:val="clear" w:color="auto" w:fill="EEF3F8"/>
            <w:hideMark/>
          </w:tcPr>
          <w:p w14:paraId="6C993471" w14:textId="77777777" w:rsidR="00D210D0" w:rsidRPr="00A25D57" w:rsidRDefault="00D210D0" w:rsidP="00175889">
            <w:pPr>
              <w:spacing w:after="0" w:line="240" w:lineRule="auto"/>
              <w:jc w:val="left"/>
              <w:rPr>
                <w:sz w:val="20"/>
                <w:szCs w:val="20"/>
              </w:rPr>
            </w:pPr>
            <w:r w:rsidRPr="00A25D57">
              <w:rPr>
                <w:sz w:val="20"/>
                <w:szCs w:val="20"/>
              </w:rPr>
              <w:t>E.6. X band receiver testing in the lab</w:t>
            </w:r>
          </w:p>
        </w:tc>
        <w:tc>
          <w:tcPr>
            <w:tcW w:w="5900" w:type="dxa"/>
            <w:shd w:val="clear" w:color="auto" w:fill="EEF3F8"/>
            <w:hideMark/>
          </w:tcPr>
          <w:p w14:paraId="4C7DBBE0" w14:textId="77777777" w:rsidR="00D210D0" w:rsidRPr="00A25D57" w:rsidRDefault="00D210D0" w:rsidP="00175889">
            <w:pPr>
              <w:spacing w:after="0" w:line="240" w:lineRule="auto"/>
              <w:jc w:val="left"/>
              <w:rPr>
                <w:sz w:val="20"/>
                <w:szCs w:val="20"/>
              </w:rPr>
            </w:pPr>
            <w:r w:rsidRPr="00A25D57">
              <w:rPr>
                <w:sz w:val="20"/>
                <w:szCs w:val="20"/>
              </w:rPr>
              <w:t>E.6. X band receiver testing completed in the lab</w:t>
            </w:r>
          </w:p>
        </w:tc>
      </w:tr>
      <w:tr w:rsidR="00D210D0" w:rsidRPr="00A25D57" w14:paraId="42F2C2D7" w14:textId="77777777" w:rsidTr="004812EF">
        <w:trPr>
          <w:trHeight w:val="288"/>
        </w:trPr>
        <w:tc>
          <w:tcPr>
            <w:tcW w:w="6835" w:type="dxa"/>
            <w:shd w:val="clear" w:color="auto" w:fill="EEF3F8"/>
            <w:hideMark/>
          </w:tcPr>
          <w:p w14:paraId="464739E5" w14:textId="77777777" w:rsidR="00D210D0" w:rsidRPr="00A25D57" w:rsidRDefault="00D210D0" w:rsidP="00175889">
            <w:pPr>
              <w:spacing w:after="0" w:line="240" w:lineRule="auto"/>
              <w:jc w:val="left"/>
              <w:rPr>
                <w:sz w:val="20"/>
                <w:szCs w:val="20"/>
              </w:rPr>
            </w:pPr>
            <w:r w:rsidRPr="00A25D57">
              <w:rPr>
                <w:sz w:val="20"/>
                <w:szCs w:val="20"/>
              </w:rPr>
              <w:t>E.7. Order Digital LVDTs for FY</w:t>
            </w:r>
            <w:r>
              <w:rPr>
                <w:sz w:val="20"/>
                <w:szCs w:val="20"/>
              </w:rPr>
              <w:t>20</w:t>
            </w:r>
            <w:r w:rsidRPr="00A25D57">
              <w:rPr>
                <w:sz w:val="20"/>
                <w:szCs w:val="20"/>
              </w:rPr>
              <w:t>22 replacements</w:t>
            </w:r>
          </w:p>
        </w:tc>
        <w:tc>
          <w:tcPr>
            <w:tcW w:w="5900" w:type="dxa"/>
            <w:shd w:val="clear" w:color="auto" w:fill="EEF3F8"/>
            <w:hideMark/>
          </w:tcPr>
          <w:p w14:paraId="3584CE80" w14:textId="77777777" w:rsidR="00D210D0" w:rsidRPr="00A25D57" w:rsidRDefault="00D210D0" w:rsidP="00175889">
            <w:pPr>
              <w:spacing w:after="0" w:line="240" w:lineRule="auto"/>
              <w:jc w:val="left"/>
              <w:rPr>
                <w:sz w:val="20"/>
                <w:szCs w:val="20"/>
              </w:rPr>
            </w:pPr>
            <w:r w:rsidRPr="00A25D57">
              <w:rPr>
                <w:sz w:val="20"/>
                <w:szCs w:val="20"/>
              </w:rPr>
              <w:t>E.7. LVDT ordered</w:t>
            </w:r>
          </w:p>
        </w:tc>
      </w:tr>
      <w:tr w:rsidR="00D210D0" w:rsidRPr="00A25D57" w14:paraId="7DED9108" w14:textId="77777777" w:rsidTr="004812EF">
        <w:trPr>
          <w:trHeight w:val="288"/>
        </w:trPr>
        <w:tc>
          <w:tcPr>
            <w:tcW w:w="6835" w:type="dxa"/>
            <w:shd w:val="clear" w:color="auto" w:fill="EEF3F8"/>
            <w:hideMark/>
          </w:tcPr>
          <w:p w14:paraId="762990BD" w14:textId="77777777" w:rsidR="00D210D0" w:rsidRPr="00A25D57" w:rsidRDefault="00D210D0" w:rsidP="00175889">
            <w:pPr>
              <w:spacing w:after="0" w:line="240" w:lineRule="auto"/>
              <w:jc w:val="left"/>
              <w:rPr>
                <w:sz w:val="20"/>
                <w:szCs w:val="20"/>
              </w:rPr>
            </w:pPr>
            <w:r w:rsidRPr="00A25D57">
              <w:rPr>
                <w:sz w:val="20"/>
                <w:szCs w:val="20"/>
              </w:rPr>
              <w:t>E.8. GBT motor maintenance preparation</w:t>
            </w:r>
          </w:p>
        </w:tc>
        <w:tc>
          <w:tcPr>
            <w:tcW w:w="5900" w:type="dxa"/>
            <w:shd w:val="clear" w:color="auto" w:fill="EEF3F8"/>
            <w:hideMark/>
          </w:tcPr>
          <w:p w14:paraId="33A28C4F" w14:textId="77777777" w:rsidR="00D210D0" w:rsidRPr="00A25D57" w:rsidRDefault="00D210D0" w:rsidP="00175889">
            <w:pPr>
              <w:spacing w:after="0" w:line="240" w:lineRule="auto"/>
              <w:jc w:val="left"/>
              <w:rPr>
                <w:sz w:val="20"/>
                <w:szCs w:val="20"/>
              </w:rPr>
            </w:pPr>
            <w:r w:rsidRPr="00A25D57">
              <w:rPr>
                <w:sz w:val="20"/>
                <w:szCs w:val="20"/>
              </w:rPr>
              <w:t>E.8. Motor ordered</w:t>
            </w:r>
          </w:p>
        </w:tc>
      </w:tr>
      <w:tr w:rsidR="00D210D0" w:rsidRPr="00A25D57" w14:paraId="75435633" w14:textId="77777777" w:rsidTr="004812EF">
        <w:trPr>
          <w:trHeight w:val="288"/>
        </w:trPr>
        <w:tc>
          <w:tcPr>
            <w:tcW w:w="6835" w:type="dxa"/>
            <w:shd w:val="clear" w:color="auto" w:fill="EEF3F8"/>
            <w:hideMark/>
          </w:tcPr>
          <w:p w14:paraId="1DE1D40C" w14:textId="77777777" w:rsidR="00D210D0" w:rsidRPr="00A25D57" w:rsidRDefault="00D210D0" w:rsidP="00175889">
            <w:pPr>
              <w:spacing w:after="0" w:line="240" w:lineRule="auto"/>
              <w:jc w:val="left"/>
              <w:rPr>
                <w:sz w:val="20"/>
                <w:szCs w:val="20"/>
              </w:rPr>
            </w:pPr>
            <w:r w:rsidRPr="00A25D57">
              <w:rPr>
                <w:sz w:val="20"/>
                <w:szCs w:val="20"/>
              </w:rPr>
              <w:t>E.9. GBT actuator maintenance</w:t>
            </w:r>
          </w:p>
        </w:tc>
        <w:tc>
          <w:tcPr>
            <w:tcW w:w="5900" w:type="dxa"/>
            <w:shd w:val="clear" w:color="auto" w:fill="EEF3F8"/>
            <w:hideMark/>
          </w:tcPr>
          <w:p w14:paraId="7B9098D0" w14:textId="77777777" w:rsidR="00D210D0" w:rsidRPr="00A25D57" w:rsidRDefault="00D210D0" w:rsidP="00175889">
            <w:pPr>
              <w:spacing w:after="0" w:line="240" w:lineRule="auto"/>
              <w:jc w:val="left"/>
              <w:rPr>
                <w:sz w:val="20"/>
                <w:szCs w:val="20"/>
              </w:rPr>
            </w:pPr>
            <w:r w:rsidRPr="00A25D57">
              <w:rPr>
                <w:sz w:val="20"/>
                <w:szCs w:val="20"/>
              </w:rPr>
              <w:t>E.9. Replace 40 actuators</w:t>
            </w:r>
          </w:p>
        </w:tc>
      </w:tr>
      <w:tr w:rsidR="00D210D0" w:rsidRPr="00A25D57" w14:paraId="38964D61" w14:textId="77777777" w:rsidTr="00D210D0">
        <w:trPr>
          <w:trHeight w:val="288"/>
        </w:trPr>
        <w:tc>
          <w:tcPr>
            <w:tcW w:w="6835" w:type="dxa"/>
            <w:hideMark/>
          </w:tcPr>
          <w:p w14:paraId="334EDF6F" w14:textId="77777777" w:rsidR="00D210D0" w:rsidRPr="00A25D57" w:rsidRDefault="00D210D0" w:rsidP="00175889">
            <w:pPr>
              <w:spacing w:after="0" w:line="240" w:lineRule="auto"/>
              <w:jc w:val="left"/>
              <w:rPr>
                <w:sz w:val="20"/>
                <w:szCs w:val="20"/>
              </w:rPr>
            </w:pPr>
            <w:r w:rsidRPr="00A25D57">
              <w:rPr>
                <w:sz w:val="20"/>
                <w:szCs w:val="20"/>
              </w:rPr>
              <w:t xml:space="preserve">EPO.1. Complete PING camp </w:t>
            </w:r>
          </w:p>
        </w:tc>
        <w:tc>
          <w:tcPr>
            <w:tcW w:w="5900" w:type="dxa"/>
            <w:hideMark/>
          </w:tcPr>
          <w:p w14:paraId="73DE775E" w14:textId="77777777" w:rsidR="00D210D0" w:rsidRPr="00A25D57" w:rsidRDefault="00D210D0" w:rsidP="00175889">
            <w:pPr>
              <w:spacing w:after="0" w:line="240" w:lineRule="auto"/>
              <w:jc w:val="left"/>
              <w:rPr>
                <w:sz w:val="20"/>
                <w:szCs w:val="20"/>
              </w:rPr>
            </w:pPr>
            <w:r w:rsidRPr="00A25D57">
              <w:rPr>
                <w:sz w:val="20"/>
                <w:szCs w:val="20"/>
              </w:rPr>
              <w:t>EPO.1. Conduct PING attendee evaluations</w:t>
            </w:r>
          </w:p>
        </w:tc>
      </w:tr>
      <w:tr w:rsidR="00D210D0" w:rsidRPr="00A25D57" w14:paraId="53995B8B" w14:textId="77777777" w:rsidTr="00D210D0">
        <w:trPr>
          <w:trHeight w:val="288"/>
        </w:trPr>
        <w:tc>
          <w:tcPr>
            <w:tcW w:w="6835" w:type="dxa"/>
            <w:hideMark/>
          </w:tcPr>
          <w:p w14:paraId="7923625E" w14:textId="77777777" w:rsidR="00D210D0" w:rsidRPr="00A25D57" w:rsidRDefault="00D210D0" w:rsidP="00175889">
            <w:pPr>
              <w:spacing w:after="0" w:line="240" w:lineRule="auto"/>
              <w:jc w:val="left"/>
              <w:rPr>
                <w:sz w:val="20"/>
                <w:szCs w:val="20"/>
              </w:rPr>
            </w:pPr>
            <w:r w:rsidRPr="00A25D57">
              <w:rPr>
                <w:sz w:val="20"/>
                <w:szCs w:val="20"/>
              </w:rPr>
              <w:t>EPO.2. Complete WVGSI school</w:t>
            </w:r>
          </w:p>
        </w:tc>
        <w:tc>
          <w:tcPr>
            <w:tcW w:w="5900" w:type="dxa"/>
            <w:hideMark/>
          </w:tcPr>
          <w:p w14:paraId="5D81B213" w14:textId="77777777" w:rsidR="00D210D0" w:rsidRPr="00A25D57" w:rsidRDefault="00D210D0" w:rsidP="00175889">
            <w:pPr>
              <w:spacing w:after="0" w:line="240" w:lineRule="auto"/>
              <w:jc w:val="left"/>
              <w:rPr>
                <w:sz w:val="20"/>
                <w:szCs w:val="20"/>
              </w:rPr>
            </w:pPr>
            <w:r w:rsidRPr="00A25D57">
              <w:rPr>
                <w:sz w:val="20"/>
                <w:szCs w:val="20"/>
              </w:rPr>
              <w:t>EPO.2. Conduct WVGSI attendee/mentor evaluations</w:t>
            </w:r>
          </w:p>
        </w:tc>
      </w:tr>
      <w:tr w:rsidR="00D210D0" w:rsidRPr="00A25D57" w14:paraId="6C757810" w14:textId="77777777" w:rsidTr="00D210D0">
        <w:trPr>
          <w:trHeight w:val="288"/>
        </w:trPr>
        <w:tc>
          <w:tcPr>
            <w:tcW w:w="6835" w:type="dxa"/>
            <w:hideMark/>
          </w:tcPr>
          <w:p w14:paraId="3D59B8C4" w14:textId="77777777" w:rsidR="00D210D0" w:rsidRPr="00A25D57" w:rsidRDefault="00D210D0" w:rsidP="00175889">
            <w:pPr>
              <w:spacing w:after="0" w:line="240" w:lineRule="auto"/>
              <w:jc w:val="left"/>
              <w:rPr>
                <w:sz w:val="20"/>
                <w:szCs w:val="20"/>
              </w:rPr>
            </w:pPr>
            <w:r w:rsidRPr="00A25D57">
              <w:rPr>
                <w:sz w:val="20"/>
                <w:szCs w:val="20"/>
              </w:rPr>
              <w:t xml:space="preserve">EPO.3. Complete PSC camp </w:t>
            </w:r>
          </w:p>
        </w:tc>
        <w:tc>
          <w:tcPr>
            <w:tcW w:w="5900" w:type="dxa"/>
            <w:hideMark/>
          </w:tcPr>
          <w:p w14:paraId="361205CE" w14:textId="77777777" w:rsidR="00D210D0" w:rsidRPr="00A25D57" w:rsidRDefault="00D210D0" w:rsidP="00175889">
            <w:pPr>
              <w:spacing w:after="0" w:line="240" w:lineRule="auto"/>
              <w:jc w:val="left"/>
              <w:rPr>
                <w:sz w:val="20"/>
                <w:szCs w:val="20"/>
              </w:rPr>
            </w:pPr>
            <w:r w:rsidRPr="00A25D57">
              <w:rPr>
                <w:sz w:val="20"/>
                <w:szCs w:val="20"/>
              </w:rPr>
              <w:t>EPO.3. Conduct PSC attendee evaluations</w:t>
            </w:r>
          </w:p>
        </w:tc>
      </w:tr>
      <w:tr w:rsidR="00D210D0" w:rsidRPr="00A25D57" w14:paraId="56945446" w14:textId="77777777" w:rsidTr="00D210D0">
        <w:trPr>
          <w:trHeight w:val="288"/>
        </w:trPr>
        <w:tc>
          <w:tcPr>
            <w:tcW w:w="6835" w:type="dxa"/>
            <w:hideMark/>
          </w:tcPr>
          <w:p w14:paraId="718C01E9" w14:textId="77777777" w:rsidR="00D210D0" w:rsidRPr="00A25D57" w:rsidRDefault="00D210D0" w:rsidP="00175889">
            <w:pPr>
              <w:spacing w:after="0" w:line="240" w:lineRule="auto"/>
              <w:jc w:val="left"/>
              <w:rPr>
                <w:sz w:val="20"/>
                <w:szCs w:val="20"/>
              </w:rPr>
            </w:pPr>
            <w:r w:rsidRPr="00A25D57">
              <w:rPr>
                <w:sz w:val="20"/>
                <w:szCs w:val="20"/>
              </w:rPr>
              <w:t xml:space="preserve">EPO.4. Summer programs </w:t>
            </w:r>
          </w:p>
        </w:tc>
        <w:tc>
          <w:tcPr>
            <w:tcW w:w="5900" w:type="dxa"/>
            <w:hideMark/>
          </w:tcPr>
          <w:p w14:paraId="23322A7A" w14:textId="77777777" w:rsidR="00D210D0" w:rsidRPr="00A25D57" w:rsidRDefault="00D210D0" w:rsidP="00175889">
            <w:pPr>
              <w:spacing w:after="0" w:line="240" w:lineRule="auto"/>
              <w:jc w:val="left"/>
              <w:rPr>
                <w:sz w:val="20"/>
                <w:szCs w:val="20"/>
              </w:rPr>
            </w:pPr>
            <w:r w:rsidRPr="00A25D57">
              <w:rPr>
                <w:sz w:val="20"/>
                <w:szCs w:val="20"/>
              </w:rPr>
              <w:t>EPO.4. Conduct attendee/mentor evaluations</w:t>
            </w:r>
          </w:p>
        </w:tc>
      </w:tr>
      <w:tr w:rsidR="00D210D0" w:rsidRPr="00A25D57" w14:paraId="33EBCD6A" w14:textId="77777777" w:rsidTr="00D210D0">
        <w:trPr>
          <w:trHeight w:val="288"/>
        </w:trPr>
        <w:tc>
          <w:tcPr>
            <w:tcW w:w="6835" w:type="dxa"/>
            <w:hideMark/>
          </w:tcPr>
          <w:p w14:paraId="1371E5FD" w14:textId="77777777" w:rsidR="00D210D0" w:rsidRPr="00A25D57" w:rsidRDefault="00D210D0" w:rsidP="00175889">
            <w:pPr>
              <w:spacing w:after="0" w:line="240" w:lineRule="auto"/>
              <w:jc w:val="left"/>
              <w:rPr>
                <w:sz w:val="20"/>
                <w:szCs w:val="20"/>
              </w:rPr>
            </w:pPr>
            <w:r w:rsidRPr="00A25D57">
              <w:rPr>
                <w:sz w:val="20"/>
                <w:szCs w:val="20"/>
              </w:rPr>
              <w:t>EPO.5. Pocahontas County Math Field Day</w:t>
            </w:r>
          </w:p>
        </w:tc>
        <w:tc>
          <w:tcPr>
            <w:tcW w:w="5900" w:type="dxa"/>
            <w:hideMark/>
          </w:tcPr>
          <w:p w14:paraId="1390C53F" w14:textId="77777777" w:rsidR="00D210D0" w:rsidRPr="00A25D57" w:rsidRDefault="00D210D0" w:rsidP="00175889">
            <w:pPr>
              <w:spacing w:after="0" w:line="240" w:lineRule="auto"/>
              <w:jc w:val="left"/>
              <w:rPr>
                <w:sz w:val="20"/>
                <w:szCs w:val="20"/>
              </w:rPr>
            </w:pPr>
            <w:r w:rsidRPr="00A25D57">
              <w:rPr>
                <w:sz w:val="20"/>
                <w:szCs w:val="20"/>
              </w:rPr>
              <w:t>EPO.5. Pocahontas County Maty Field Day conducted</w:t>
            </w:r>
          </w:p>
        </w:tc>
      </w:tr>
      <w:tr w:rsidR="00D210D0" w:rsidRPr="00A25D57" w14:paraId="79CFFFA7" w14:textId="77777777" w:rsidTr="00D210D0">
        <w:trPr>
          <w:trHeight w:val="288"/>
        </w:trPr>
        <w:tc>
          <w:tcPr>
            <w:tcW w:w="6835" w:type="dxa"/>
            <w:hideMark/>
          </w:tcPr>
          <w:p w14:paraId="783438F1" w14:textId="77777777" w:rsidR="00D210D0" w:rsidRPr="00A25D57" w:rsidRDefault="00D210D0" w:rsidP="00175889">
            <w:pPr>
              <w:spacing w:after="0" w:line="240" w:lineRule="auto"/>
              <w:jc w:val="left"/>
              <w:rPr>
                <w:sz w:val="20"/>
                <w:szCs w:val="20"/>
              </w:rPr>
            </w:pPr>
            <w:r w:rsidRPr="00A25D57">
              <w:rPr>
                <w:sz w:val="20"/>
                <w:szCs w:val="20"/>
              </w:rPr>
              <w:t>EPO.6. Conduct teacher professional programs</w:t>
            </w:r>
          </w:p>
        </w:tc>
        <w:tc>
          <w:tcPr>
            <w:tcW w:w="5900" w:type="dxa"/>
            <w:hideMark/>
          </w:tcPr>
          <w:p w14:paraId="067962CD" w14:textId="77777777" w:rsidR="00D210D0" w:rsidRPr="00A25D57" w:rsidRDefault="00D210D0" w:rsidP="00175889">
            <w:pPr>
              <w:spacing w:after="0" w:line="240" w:lineRule="auto"/>
              <w:jc w:val="left"/>
              <w:rPr>
                <w:sz w:val="20"/>
                <w:szCs w:val="20"/>
              </w:rPr>
            </w:pPr>
            <w:r w:rsidRPr="00A25D57">
              <w:rPr>
                <w:sz w:val="20"/>
                <w:szCs w:val="20"/>
              </w:rPr>
              <w:t>EPO.6. Teacher materials provided</w:t>
            </w:r>
          </w:p>
        </w:tc>
      </w:tr>
      <w:tr w:rsidR="00D210D0" w:rsidRPr="00A25D57" w14:paraId="7227A00D" w14:textId="77777777" w:rsidTr="00D210D0">
        <w:trPr>
          <w:trHeight w:val="288"/>
        </w:trPr>
        <w:tc>
          <w:tcPr>
            <w:tcW w:w="6835" w:type="dxa"/>
            <w:hideMark/>
          </w:tcPr>
          <w:p w14:paraId="3B8F97D0" w14:textId="77777777" w:rsidR="00D210D0" w:rsidRPr="00A25D57" w:rsidRDefault="00D210D0" w:rsidP="00175889">
            <w:pPr>
              <w:spacing w:after="0" w:line="240" w:lineRule="auto"/>
              <w:jc w:val="left"/>
              <w:rPr>
                <w:sz w:val="20"/>
                <w:szCs w:val="20"/>
              </w:rPr>
            </w:pPr>
            <w:r w:rsidRPr="00A25D57">
              <w:rPr>
                <w:sz w:val="20"/>
                <w:szCs w:val="20"/>
              </w:rPr>
              <w:t>EPO.7. Conduct family science labs</w:t>
            </w:r>
          </w:p>
        </w:tc>
        <w:tc>
          <w:tcPr>
            <w:tcW w:w="5900" w:type="dxa"/>
            <w:hideMark/>
          </w:tcPr>
          <w:p w14:paraId="0EBFE101" w14:textId="77777777" w:rsidR="00D210D0" w:rsidRPr="00A25D57" w:rsidRDefault="00D210D0" w:rsidP="00175889">
            <w:pPr>
              <w:spacing w:after="0" w:line="240" w:lineRule="auto"/>
              <w:jc w:val="left"/>
              <w:rPr>
                <w:sz w:val="20"/>
                <w:szCs w:val="20"/>
              </w:rPr>
            </w:pPr>
            <w:r w:rsidRPr="00A25D57">
              <w:rPr>
                <w:sz w:val="20"/>
                <w:szCs w:val="20"/>
              </w:rPr>
              <w:t>EPO.7. Family science attendee count</w:t>
            </w:r>
          </w:p>
        </w:tc>
      </w:tr>
      <w:tr w:rsidR="00D210D0" w:rsidRPr="00A25D57" w14:paraId="7BAD8EAF" w14:textId="77777777" w:rsidTr="00D210D0">
        <w:trPr>
          <w:trHeight w:val="288"/>
        </w:trPr>
        <w:tc>
          <w:tcPr>
            <w:tcW w:w="6835" w:type="dxa"/>
            <w:hideMark/>
          </w:tcPr>
          <w:p w14:paraId="753417DE" w14:textId="77777777" w:rsidR="00D210D0" w:rsidRPr="00A25D57" w:rsidRDefault="00D210D0" w:rsidP="00175889">
            <w:pPr>
              <w:spacing w:after="0" w:line="240" w:lineRule="auto"/>
              <w:jc w:val="left"/>
              <w:rPr>
                <w:sz w:val="20"/>
                <w:szCs w:val="20"/>
              </w:rPr>
            </w:pPr>
            <w:r w:rsidRPr="00A25D57">
              <w:rPr>
                <w:sz w:val="20"/>
                <w:szCs w:val="20"/>
              </w:rPr>
              <w:t>EPO.8. Conduct ongoing astronomer for a day program</w:t>
            </w:r>
          </w:p>
        </w:tc>
        <w:tc>
          <w:tcPr>
            <w:tcW w:w="5900" w:type="dxa"/>
            <w:hideMark/>
          </w:tcPr>
          <w:p w14:paraId="6A84974F" w14:textId="77777777" w:rsidR="00D210D0" w:rsidRPr="00A25D57" w:rsidRDefault="00D210D0" w:rsidP="00175889">
            <w:pPr>
              <w:spacing w:after="0" w:line="240" w:lineRule="auto"/>
              <w:jc w:val="left"/>
              <w:rPr>
                <w:sz w:val="20"/>
                <w:szCs w:val="20"/>
              </w:rPr>
            </w:pPr>
            <w:r w:rsidRPr="00A25D57">
              <w:rPr>
                <w:sz w:val="20"/>
                <w:szCs w:val="20"/>
              </w:rPr>
              <w:t>EPO.8. Radio Astronomer for a Day attendee count</w:t>
            </w:r>
          </w:p>
        </w:tc>
      </w:tr>
      <w:tr w:rsidR="00D210D0" w:rsidRPr="00A25D57" w14:paraId="5AD7EDCF" w14:textId="77777777" w:rsidTr="00D210D0">
        <w:trPr>
          <w:trHeight w:val="288"/>
        </w:trPr>
        <w:tc>
          <w:tcPr>
            <w:tcW w:w="6835" w:type="dxa"/>
            <w:hideMark/>
          </w:tcPr>
          <w:p w14:paraId="4C47B95F" w14:textId="77777777" w:rsidR="00D210D0" w:rsidRPr="00A25D57" w:rsidRDefault="00D210D0" w:rsidP="00175889">
            <w:pPr>
              <w:spacing w:after="0" w:line="240" w:lineRule="auto"/>
              <w:jc w:val="left"/>
              <w:rPr>
                <w:sz w:val="20"/>
                <w:szCs w:val="20"/>
              </w:rPr>
            </w:pPr>
            <w:r w:rsidRPr="00A25D57">
              <w:rPr>
                <w:sz w:val="20"/>
                <w:szCs w:val="20"/>
              </w:rPr>
              <w:t>EPO.9. Conduct monthly GBO High Tech tours</w:t>
            </w:r>
          </w:p>
        </w:tc>
        <w:tc>
          <w:tcPr>
            <w:tcW w:w="5900" w:type="dxa"/>
            <w:hideMark/>
          </w:tcPr>
          <w:p w14:paraId="769F5DA1" w14:textId="77777777" w:rsidR="00D210D0" w:rsidRPr="00A25D57" w:rsidRDefault="00D210D0" w:rsidP="00175889">
            <w:pPr>
              <w:spacing w:after="0" w:line="240" w:lineRule="auto"/>
              <w:jc w:val="left"/>
              <w:rPr>
                <w:sz w:val="20"/>
                <w:szCs w:val="20"/>
              </w:rPr>
            </w:pPr>
            <w:r w:rsidRPr="00A25D57">
              <w:rPr>
                <w:sz w:val="20"/>
                <w:szCs w:val="20"/>
              </w:rPr>
              <w:t>EPO.9. High Tech tour attendee count</w:t>
            </w:r>
          </w:p>
        </w:tc>
      </w:tr>
      <w:tr w:rsidR="00D210D0" w:rsidRPr="00A25D57" w14:paraId="45CC22FE" w14:textId="77777777" w:rsidTr="00D210D0">
        <w:trPr>
          <w:trHeight w:val="288"/>
        </w:trPr>
        <w:tc>
          <w:tcPr>
            <w:tcW w:w="6835" w:type="dxa"/>
            <w:hideMark/>
          </w:tcPr>
          <w:p w14:paraId="28CB1603" w14:textId="77777777" w:rsidR="00D210D0" w:rsidRPr="00A25D57" w:rsidRDefault="00D210D0" w:rsidP="00175889">
            <w:pPr>
              <w:spacing w:after="0" w:line="240" w:lineRule="auto"/>
              <w:jc w:val="left"/>
              <w:rPr>
                <w:sz w:val="20"/>
                <w:szCs w:val="20"/>
              </w:rPr>
            </w:pPr>
            <w:r w:rsidRPr="00A25D57">
              <w:rPr>
                <w:sz w:val="20"/>
                <w:szCs w:val="20"/>
              </w:rPr>
              <w:t>EPO.10. Conduct GBO Star Parties</w:t>
            </w:r>
          </w:p>
        </w:tc>
        <w:tc>
          <w:tcPr>
            <w:tcW w:w="5900" w:type="dxa"/>
            <w:hideMark/>
          </w:tcPr>
          <w:p w14:paraId="12183594" w14:textId="77777777" w:rsidR="00D210D0" w:rsidRPr="00A25D57" w:rsidRDefault="00D210D0" w:rsidP="00175889">
            <w:pPr>
              <w:spacing w:after="0" w:line="240" w:lineRule="auto"/>
              <w:jc w:val="left"/>
              <w:rPr>
                <w:sz w:val="20"/>
                <w:szCs w:val="20"/>
              </w:rPr>
            </w:pPr>
            <w:r w:rsidRPr="00A25D57">
              <w:rPr>
                <w:sz w:val="20"/>
                <w:szCs w:val="20"/>
              </w:rPr>
              <w:t>EPO.10. Star Party attendee count</w:t>
            </w:r>
          </w:p>
        </w:tc>
      </w:tr>
      <w:tr w:rsidR="00D210D0" w:rsidRPr="00A25D57" w14:paraId="6FFF78D6" w14:textId="77777777" w:rsidTr="00D210D0">
        <w:trPr>
          <w:trHeight w:val="288"/>
        </w:trPr>
        <w:tc>
          <w:tcPr>
            <w:tcW w:w="6835" w:type="dxa"/>
            <w:hideMark/>
          </w:tcPr>
          <w:p w14:paraId="436734E7" w14:textId="77777777" w:rsidR="00D210D0" w:rsidRPr="00A25D57" w:rsidRDefault="00D210D0" w:rsidP="00175889">
            <w:pPr>
              <w:spacing w:after="0" w:line="240" w:lineRule="auto"/>
              <w:jc w:val="left"/>
              <w:rPr>
                <w:sz w:val="20"/>
                <w:szCs w:val="20"/>
              </w:rPr>
            </w:pPr>
            <w:r w:rsidRPr="00A25D57">
              <w:rPr>
                <w:sz w:val="20"/>
                <w:szCs w:val="20"/>
              </w:rPr>
              <w:t xml:space="preserve">EPO.11. Host and lead county </w:t>
            </w:r>
            <w:proofErr w:type="gramStart"/>
            <w:r w:rsidRPr="00A25D57">
              <w:rPr>
                <w:sz w:val="20"/>
                <w:szCs w:val="20"/>
              </w:rPr>
              <w:t>schools</w:t>
            </w:r>
            <w:proofErr w:type="gramEnd"/>
            <w:r w:rsidRPr="00A25D57">
              <w:rPr>
                <w:sz w:val="20"/>
                <w:szCs w:val="20"/>
              </w:rPr>
              <w:t xml:space="preserve"> science fair</w:t>
            </w:r>
          </w:p>
        </w:tc>
        <w:tc>
          <w:tcPr>
            <w:tcW w:w="5900" w:type="dxa"/>
            <w:hideMark/>
          </w:tcPr>
          <w:p w14:paraId="69655875" w14:textId="77777777" w:rsidR="00D210D0" w:rsidRPr="00A25D57" w:rsidRDefault="00D210D0" w:rsidP="00175889">
            <w:pPr>
              <w:spacing w:after="0" w:line="240" w:lineRule="auto"/>
              <w:jc w:val="left"/>
              <w:rPr>
                <w:sz w:val="20"/>
                <w:szCs w:val="20"/>
              </w:rPr>
            </w:pPr>
            <w:r w:rsidRPr="00A25D57">
              <w:rPr>
                <w:sz w:val="20"/>
                <w:szCs w:val="20"/>
              </w:rPr>
              <w:t>EPO.11. Science Fair attendee count</w:t>
            </w:r>
          </w:p>
        </w:tc>
      </w:tr>
      <w:tr w:rsidR="00D210D0" w:rsidRPr="00A25D57" w14:paraId="599D21B7" w14:textId="77777777" w:rsidTr="00D210D0">
        <w:trPr>
          <w:trHeight w:val="288"/>
        </w:trPr>
        <w:tc>
          <w:tcPr>
            <w:tcW w:w="6835" w:type="dxa"/>
            <w:hideMark/>
          </w:tcPr>
          <w:p w14:paraId="36CB9F01" w14:textId="77777777" w:rsidR="00D210D0" w:rsidRPr="00A25D57" w:rsidRDefault="00D210D0" w:rsidP="00175889">
            <w:pPr>
              <w:spacing w:after="0" w:line="240" w:lineRule="auto"/>
              <w:jc w:val="left"/>
              <w:rPr>
                <w:sz w:val="20"/>
                <w:szCs w:val="20"/>
              </w:rPr>
            </w:pPr>
            <w:r w:rsidRPr="00A25D57">
              <w:rPr>
                <w:sz w:val="20"/>
                <w:szCs w:val="20"/>
              </w:rPr>
              <w:t>EPO.12. Participate in Hour of Code program</w:t>
            </w:r>
          </w:p>
        </w:tc>
        <w:tc>
          <w:tcPr>
            <w:tcW w:w="5900" w:type="dxa"/>
            <w:hideMark/>
          </w:tcPr>
          <w:p w14:paraId="3C9FCD8B" w14:textId="77777777" w:rsidR="00D210D0" w:rsidRPr="00A25D57" w:rsidRDefault="00D210D0" w:rsidP="00175889">
            <w:pPr>
              <w:spacing w:after="0" w:line="240" w:lineRule="auto"/>
              <w:jc w:val="left"/>
              <w:rPr>
                <w:sz w:val="20"/>
                <w:szCs w:val="20"/>
              </w:rPr>
            </w:pPr>
            <w:r w:rsidRPr="00A25D57">
              <w:rPr>
                <w:sz w:val="20"/>
                <w:szCs w:val="20"/>
              </w:rPr>
              <w:t>EPO.12. Hour of Code attendee feedback</w:t>
            </w:r>
          </w:p>
        </w:tc>
      </w:tr>
      <w:tr w:rsidR="00D210D0" w:rsidRPr="00A25D57" w14:paraId="5980B139" w14:textId="77777777" w:rsidTr="00D210D0">
        <w:trPr>
          <w:trHeight w:val="288"/>
        </w:trPr>
        <w:tc>
          <w:tcPr>
            <w:tcW w:w="6835" w:type="dxa"/>
            <w:hideMark/>
          </w:tcPr>
          <w:p w14:paraId="7C23499C" w14:textId="77777777" w:rsidR="00D210D0" w:rsidRPr="00A25D57" w:rsidRDefault="00D210D0" w:rsidP="00175889">
            <w:pPr>
              <w:spacing w:after="0" w:line="240" w:lineRule="auto"/>
              <w:jc w:val="left"/>
              <w:rPr>
                <w:sz w:val="20"/>
                <w:szCs w:val="20"/>
              </w:rPr>
            </w:pPr>
            <w:r w:rsidRPr="00A25D57">
              <w:rPr>
                <w:sz w:val="20"/>
                <w:szCs w:val="20"/>
              </w:rPr>
              <w:t>EPO.13. Exhibit replacement plan (FY2020 carry forward)</w:t>
            </w:r>
          </w:p>
        </w:tc>
        <w:tc>
          <w:tcPr>
            <w:tcW w:w="5900" w:type="dxa"/>
            <w:hideMark/>
          </w:tcPr>
          <w:p w14:paraId="70CBE798" w14:textId="77777777" w:rsidR="00D210D0" w:rsidRPr="00A25D57" w:rsidRDefault="00D210D0" w:rsidP="00175889">
            <w:pPr>
              <w:spacing w:after="0" w:line="240" w:lineRule="auto"/>
              <w:jc w:val="left"/>
              <w:rPr>
                <w:sz w:val="20"/>
                <w:szCs w:val="20"/>
              </w:rPr>
            </w:pPr>
            <w:r w:rsidRPr="00A25D57">
              <w:rPr>
                <w:sz w:val="20"/>
                <w:szCs w:val="20"/>
              </w:rPr>
              <w:t>EPO.13. Annual Open House Attendee Count</w:t>
            </w:r>
          </w:p>
        </w:tc>
      </w:tr>
      <w:tr w:rsidR="00D210D0" w:rsidRPr="00A25D57" w14:paraId="799A7E5A" w14:textId="77777777" w:rsidTr="00D210D0">
        <w:trPr>
          <w:trHeight w:val="288"/>
        </w:trPr>
        <w:tc>
          <w:tcPr>
            <w:tcW w:w="6835" w:type="dxa"/>
            <w:hideMark/>
          </w:tcPr>
          <w:p w14:paraId="391BAD0D" w14:textId="77777777" w:rsidR="00D210D0" w:rsidRPr="00A25D57" w:rsidRDefault="00D210D0" w:rsidP="00175889">
            <w:pPr>
              <w:spacing w:after="0" w:line="240" w:lineRule="auto"/>
              <w:jc w:val="left"/>
              <w:rPr>
                <w:sz w:val="20"/>
                <w:szCs w:val="20"/>
              </w:rPr>
            </w:pPr>
            <w:r w:rsidRPr="00A25D57">
              <w:rPr>
                <w:sz w:val="20"/>
                <w:szCs w:val="20"/>
              </w:rPr>
              <w:t>EPO.14. Annual Open House Event</w:t>
            </w:r>
          </w:p>
        </w:tc>
        <w:tc>
          <w:tcPr>
            <w:tcW w:w="5900" w:type="dxa"/>
            <w:hideMark/>
          </w:tcPr>
          <w:p w14:paraId="75CAA14A" w14:textId="77777777" w:rsidR="00D210D0" w:rsidRPr="00A25D57" w:rsidRDefault="00D210D0" w:rsidP="00175889">
            <w:pPr>
              <w:spacing w:after="0" w:line="240" w:lineRule="auto"/>
              <w:jc w:val="left"/>
              <w:rPr>
                <w:sz w:val="20"/>
                <w:szCs w:val="20"/>
              </w:rPr>
            </w:pPr>
            <w:r w:rsidRPr="00A25D57">
              <w:rPr>
                <w:sz w:val="20"/>
                <w:szCs w:val="20"/>
              </w:rPr>
              <w:t>EPO.14. Exhibit replacement plan and budget</w:t>
            </w:r>
          </w:p>
        </w:tc>
      </w:tr>
      <w:tr w:rsidR="00D210D0" w:rsidRPr="00A25D57" w14:paraId="41DBBEFD" w14:textId="77777777" w:rsidTr="00D210D0">
        <w:trPr>
          <w:trHeight w:val="288"/>
        </w:trPr>
        <w:tc>
          <w:tcPr>
            <w:tcW w:w="6835" w:type="dxa"/>
            <w:hideMark/>
          </w:tcPr>
          <w:p w14:paraId="36EE473F" w14:textId="77777777" w:rsidR="00D210D0" w:rsidRPr="00A25D57" w:rsidRDefault="00D210D0" w:rsidP="00175889">
            <w:pPr>
              <w:spacing w:after="0" w:line="240" w:lineRule="auto"/>
              <w:jc w:val="left"/>
              <w:rPr>
                <w:sz w:val="20"/>
                <w:szCs w:val="20"/>
              </w:rPr>
            </w:pPr>
            <w:r w:rsidRPr="00A25D57">
              <w:rPr>
                <w:sz w:val="20"/>
                <w:szCs w:val="20"/>
              </w:rPr>
              <w:t>EPO.15. Proposal for expanded WVSPOT program</w:t>
            </w:r>
          </w:p>
        </w:tc>
        <w:tc>
          <w:tcPr>
            <w:tcW w:w="5900" w:type="dxa"/>
            <w:hideMark/>
          </w:tcPr>
          <w:p w14:paraId="6E2FFBCC" w14:textId="77777777" w:rsidR="00D210D0" w:rsidRPr="00A25D57" w:rsidRDefault="00D210D0" w:rsidP="00175889">
            <w:pPr>
              <w:spacing w:after="0" w:line="240" w:lineRule="auto"/>
              <w:jc w:val="left"/>
              <w:rPr>
                <w:sz w:val="20"/>
                <w:szCs w:val="20"/>
              </w:rPr>
            </w:pPr>
            <w:r w:rsidRPr="00A25D57">
              <w:rPr>
                <w:sz w:val="20"/>
                <w:szCs w:val="20"/>
              </w:rPr>
              <w:t>EPO.15. WVSPOT expansion proposal submitted</w:t>
            </w:r>
          </w:p>
        </w:tc>
      </w:tr>
      <w:tr w:rsidR="00D210D0" w:rsidRPr="00A25D57" w14:paraId="7D30CBE0" w14:textId="77777777" w:rsidTr="00D210D0">
        <w:trPr>
          <w:trHeight w:val="288"/>
        </w:trPr>
        <w:tc>
          <w:tcPr>
            <w:tcW w:w="6835" w:type="dxa"/>
            <w:hideMark/>
          </w:tcPr>
          <w:p w14:paraId="263ACFBF" w14:textId="77777777" w:rsidR="00D210D0" w:rsidRPr="00A25D57" w:rsidRDefault="00D210D0" w:rsidP="00175889">
            <w:pPr>
              <w:spacing w:after="0" w:line="240" w:lineRule="auto"/>
              <w:jc w:val="left"/>
              <w:rPr>
                <w:sz w:val="20"/>
                <w:szCs w:val="20"/>
              </w:rPr>
            </w:pPr>
            <w:r w:rsidRPr="00A25D57">
              <w:rPr>
                <w:sz w:val="20"/>
                <w:szCs w:val="20"/>
              </w:rPr>
              <w:t>EPO.16. WV Governor's STEM Institute</w:t>
            </w:r>
          </w:p>
        </w:tc>
        <w:tc>
          <w:tcPr>
            <w:tcW w:w="5900" w:type="dxa"/>
            <w:hideMark/>
          </w:tcPr>
          <w:p w14:paraId="39409214" w14:textId="77777777" w:rsidR="00D210D0" w:rsidRPr="00A25D57" w:rsidRDefault="00D210D0" w:rsidP="00175889">
            <w:pPr>
              <w:spacing w:after="0" w:line="240" w:lineRule="auto"/>
              <w:jc w:val="left"/>
              <w:rPr>
                <w:sz w:val="20"/>
                <w:szCs w:val="20"/>
              </w:rPr>
            </w:pPr>
            <w:r w:rsidRPr="00A25D57">
              <w:rPr>
                <w:sz w:val="20"/>
                <w:szCs w:val="20"/>
              </w:rPr>
              <w:t>EPO.16. WV GSI Camp conducted</w:t>
            </w:r>
          </w:p>
        </w:tc>
      </w:tr>
      <w:tr w:rsidR="00D210D0" w:rsidRPr="00A25D57" w14:paraId="6E66A444" w14:textId="77777777" w:rsidTr="00D210D0">
        <w:trPr>
          <w:trHeight w:val="288"/>
        </w:trPr>
        <w:tc>
          <w:tcPr>
            <w:tcW w:w="6835" w:type="dxa"/>
            <w:hideMark/>
          </w:tcPr>
          <w:p w14:paraId="540A3C92" w14:textId="77777777" w:rsidR="00D210D0" w:rsidRPr="00A25D57" w:rsidRDefault="00D210D0" w:rsidP="00175889">
            <w:pPr>
              <w:spacing w:after="0" w:line="240" w:lineRule="auto"/>
              <w:jc w:val="left"/>
              <w:rPr>
                <w:sz w:val="20"/>
                <w:szCs w:val="20"/>
              </w:rPr>
            </w:pPr>
            <w:r w:rsidRPr="00A25D57">
              <w:rPr>
                <w:sz w:val="20"/>
                <w:szCs w:val="20"/>
              </w:rPr>
              <w:t>EPO.17. PING Recruitment Plan</w:t>
            </w:r>
          </w:p>
        </w:tc>
        <w:tc>
          <w:tcPr>
            <w:tcW w:w="5900" w:type="dxa"/>
            <w:hideMark/>
          </w:tcPr>
          <w:p w14:paraId="27C291F8" w14:textId="77777777" w:rsidR="00D210D0" w:rsidRPr="00A25D57" w:rsidRDefault="00D210D0" w:rsidP="00175889">
            <w:pPr>
              <w:spacing w:after="0" w:line="240" w:lineRule="auto"/>
              <w:jc w:val="left"/>
              <w:rPr>
                <w:sz w:val="20"/>
                <w:szCs w:val="20"/>
              </w:rPr>
            </w:pPr>
            <w:r w:rsidRPr="00A25D57">
              <w:rPr>
                <w:sz w:val="20"/>
                <w:szCs w:val="20"/>
              </w:rPr>
              <w:t>EPO.17. Complete plan for PING student/mentor recruitment</w:t>
            </w:r>
          </w:p>
        </w:tc>
      </w:tr>
      <w:tr w:rsidR="00D210D0" w:rsidRPr="00A25D57" w14:paraId="140855F3" w14:textId="77777777" w:rsidTr="00D210D0">
        <w:trPr>
          <w:trHeight w:val="288"/>
        </w:trPr>
        <w:tc>
          <w:tcPr>
            <w:tcW w:w="6835" w:type="dxa"/>
            <w:hideMark/>
          </w:tcPr>
          <w:p w14:paraId="72B8C859" w14:textId="77777777" w:rsidR="00D210D0" w:rsidRPr="00A25D57" w:rsidRDefault="00D210D0" w:rsidP="00175889">
            <w:pPr>
              <w:spacing w:after="0" w:line="240" w:lineRule="auto"/>
              <w:jc w:val="left"/>
              <w:rPr>
                <w:sz w:val="20"/>
                <w:szCs w:val="20"/>
              </w:rPr>
            </w:pPr>
            <w:r w:rsidRPr="00A25D57">
              <w:rPr>
                <w:sz w:val="20"/>
                <w:szCs w:val="20"/>
              </w:rPr>
              <w:t>EPO.18. PING Student Selections</w:t>
            </w:r>
          </w:p>
        </w:tc>
        <w:tc>
          <w:tcPr>
            <w:tcW w:w="5900" w:type="dxa"/>
            <w:hideMark/>
          </w:tcPr>
          <w:p w14:paraId="35EB0414" w14:textId="77777777" w:rsidR="00D210D0" w:rsidRPr="00A25D57" w:rsidRDefault="00D210D0" w:rsidP="00175889">
            <w:pPr>
              <w:spacing w:after="0" w:line="240" w:lineRule="auto"/>
              <w:jc w:val="left"/>
              <w:rPr>
                <w:sz w:val="20"/>
                <w:szCs w:val="20"/>
              </w:rPr>
            </w:pPr>
            <w:r w:rsidRPr="00A25D57">
              <w:rPr>
                <w:sz w:val="20"/>
                <w:szCs w:val="20"/>
              </w:rPr>
              <w:t>EPO.18. PING Student selections completed</w:t>
            </w:r>
          </w:p>
        </w:tc>
      </w:tr>
      <w:tr w:rsidR="00D210D0" w:rsidRPr="00A25D57" w14:paraId="0D01CD0F" w14:textId="77777777" w:rsidTr="00D210D0">
        <w:trPr>
          <w:trHeight w:val="288"/>
        </w:trPr>
        <w:tc>
          <w:tcPr>
            <w:tcW w:w="6835" w:type="dxa"/>
            <w:hideMark/>
          </w:tcPr>
          <w:p w14:paraId="1ED60739" w14:textId="77777777" w:rsidR="00D210D0" w:rsidRPr="00A25D57" w:rsidRDefault="00D210D0" w:rsidP="00175889">
            <w:pPr>
              <w:spacing w:after="0" w:line="240" w:lineRule="auto"/>
              <w:jc w:val="left"/>
              <w:rPr>
                <w:sz w:val="20"/>
                <w:szCs w:val="20"/>
              </w:rPr>
            </w:pPr>
            <w:r w:rsidRPr="00A25D57">
              <w:rPr>
                <w:sz w:val="20"/>
                <w:szCs w:val="20"/>
              </w:rPr>
              <w:t>EPO.19. PING evaluation</w:t>
            </w:r>
          </w:p>
        </w:tc>
        <w:tc>
          <w:tcPr>
            <w:tcW w:w="5900" w:type="dxa"/>
            <w:hideMark/>
          </w:tcPr>
          <w:p w14:paraId="13DFD52D" w14:textId="77777777" w:rsidR="00D210D0" w:rsidRPr="00A25D57" w:rsidRDefault="00D210D0" w:rsidP="00175889">
            <w:pPr>
              <w:spacing w:after="0" w:line="240" w:lineRule="auto"/>
              <w:jc w:val="left"/>
              <w:rPr>
                <w:sz w:val="20"/>
                <w:szCs w:val="20"/>
              </w:rPr>
            </w:pPr>
            <w:r w:rsidRPr="00A25D57">
              <w:rPr>
                <w:sz w:val="20"/>
                <w:szCs w:val="20"/>
              </w:rPr>
              <w:t>EPO.19. PING Evaluation Feedback completed</w:t>
            </w:r>
          </w:p>
        </w:tc>
      </w:tr>
      <w:tr w:rsidR="00D210D0" w:rsidRPr="00A25D57" w14:paraId="2DE0121C" w14:textId="77777777" w:rsidTr="00D210D0">
        <w:trPr>
          <w:trHeight w:val="288"/>
        </w:trPr>
        <w:tc>
          <w:tcPr>
            <w:tcW w:w="6835" w:type="dxa"/>
            <w:hideMark/>
          </w:tcPr>
          <w:p w14:paraId="19246449" w14:textId="77777777" w:rsidR="00D210D0" w:rsidRPr="00A25D57" w:rsidRDefault="00D210D0" w:rsidP="00175889">
            <w:pPr>
              <w:spacing w:after="0" w:line="240" w:lineRule="auto"/>
              <w:jc w:val="left"/>
              <w:rPr>
                <w:sz w:val="20"/>
                <w:szCs w:val="20"/>
              </w:rPr>
            </w:pPr>
            <w:r w:rsidRPr="00A25D57">
              <w:rPr>
                <w:sz w:val="20"/>
                <w:szCs w:val="20"/>
              </w:rPr>
              <w:t>EPO.20. New PSC funding proposal</w:t>
            </w:r>
          </w:p>
        </w:tc>
        <w:tc>
          <w:tcPr>
            <w:tcW w:w="5900" w:type="dxa"/>
            <w:hideMark/>
          </w:tcPr>
          <w:p w14:paraId="242801F6" w14:textId="77777777" w:rsidR="00D210D0" w:rsidRPr="00A25D57" w:rsidRDefault="00D210D0" w:rsidP="00175889">
            <w:pPr>
              <w:spacing w:after="0" w:line="240" w:lineRule="auto"/>
              <w:jc w:val="left"/>
              <w:rPr>
                <w:sz w:val="20"/>
                <w:szCs w:val="20"/>
              </w:rPr>
            </w:pPr>
            <w:r w:rsidRPr="00A25D57">
              <w:rPr>
                <w:sz w:val="20"/>
                <w:szCs w:val="20"/>
              </w:rPr>
              <w:t>EPO.20. Proposal submitted for new PSC funding</w:t>
            </w:r>
          </w:p>
        </w:tc>
      </w:tr>
      <w:tr w:rsidR="00D210D0" w:rsidRPr="00A25D57" w14:paraId="12AD42F6" w14:textId="77777777" w:rsidTr="00D210D0">
        <w:trPr>
          <w:trHeight w:val="288"/>
        </w:trPr>
        <w:tc>
          <w:tcPr>
            <w:tcW w:w="6835" w:type="dxa"/>
            <w:hideMark/>
          </w:tcPr>
          <w:p w14:paraId="08238A8D" w14:textId="77777777" w:rsidR="00D210D0" w:rsidRPr="00A25D57" w:rsidRDefault="00D210D0" w:rsidP="00175889">
            <w:pPr>
              <w:spacing w:after="0" w:line="240" w:lineRule="auto"/>
              <w:jc w:val="left"/>
              <w:rPr>
                <w:sz w:val="20"/>
                <w:szCs w:val="20"/>
              </w:rPr>
            </w:pPr>
            <w:r w:rsidRPr="00A25D57">
              <w:rPr>
                <w:sz w:val="20"/>
                <w:szCs w:val="20"/>
              </w:rPr>
              <w:t>EPO.21. Skynet Junior Scholars mini workshops</w:t>
            </w:r>
          </w:p>
        </w:tc>
        <w:tc>
          <w:tcPr>
            <w:tcW w:w="5900" w:type="dxa"/>
            <w:hideMark/>
          </w:tcPr>
          <w:p w14:paraId="5686F68C" w14:textId="77777777" w:rsidR="00D210D0" w:rsidRPr="00A25D57" w:rsidRDefault="00D210D0" w:rsidP="00175889">
            <w:pPr>
              <w:spacing w:after="0" w:line="240" w:lineRule="auto"/>
              <w:jc w:val="left"/>
              <w:rPr>
                <w:sz w:val="20"/>
                <w:szCs w:val="20"/>
              </w:rPr>
            </w:pPr>
            <w:r w:rsidRPr="00A25D57">
              <w:rPr>
                <w:sz w:val="20"/>
                <w:szCs w:val="20"/>
              </w:rPr>
              <w:t>EPO.21. Conduct online Skynet mini workshops</w:t>
            </w:r>
          </w:p>
        </w:tc>
      </w:tr>
      <w:tr w:rsidR="00D210D0" w:rsidRPr="00A25D57" w14:paraId="7C640D18" w14:textId="77777777" w:rsidTr="00D210D0">
        <w:trPr>
          <w:trHeight w:val="288"/>
        </w:trPr>
        <w:tc>
          <w:tcPr>
            <w:tcW w:w="6835" w:type="dxa"/>
            <w:hideMark/>
          </w:tcPr>
          <w:p w14:paraId="1BEE92A3" w14:textId="77777777" w:rsidR="00D210D0" w:rsidRPr="00A25D57" w:rsidRDefault="00D210D0" w:rsidP="00175889">
            <w:pPr>
              <w:spacing w:after="0" w:line="240" w:lineRule="auto"/>
              <w:jc w:val="left"/>
              <w:rPr>
                <w:sz w:val="20"/>
                <w:szCs w:val="20"/>
              </w:rPr>
            </w:pPr>
            <w:r w:rsidRPr="00A25D57">
              <w:rPr>
                <w:sz w:val="20"/>
                <w:szCs w:val="20"/>
              </w:rPr>
              <w:lastRenderedPageBreak/>
              <w:t>EPO.22. Select summer students</w:t>
            </w:r>
          </w:p>
        </w:tc>
        <w:tc>
          <w:tcPr>
            <w:tcW w:w="5900" w:type="dxa"/>
            <w:hideMark/>
          </w:tcPr>
          <w:p w14:paraId="2A7C44B1" w14:textId="77777777" w:rsidR="00D210D0" w:rsidRPr="00A25D57" w:rsidRDefault="00D210D0" w:rsidP="00175889">
            <w:pPr>
              <w:spacing w:after="0" w:line="240" w:lineRule="auto"/>
              <w:jc w:val="left"/>
              <w:rPr>
                <w:sz w:val="20"/>
                <w:szCs w:val="20"/>
              </w:rPr>
            </w:pPr>
            <w:r w:rsidRPr="00A25D57">
              <w:rPr>
                <w:sz w:val="20"/>
                <w:szCs w:val="20"/>
              </w:rPr>
              <w:t>EPO.22. Summer students selected and notified</w:t>
            </w:r>
          </w:p>
        </w:tc>
      </w:tr>
      <w:tr w:rsidR="00D210D0" w:rsidRPr="00A25D57" w14:paraId="07844D3F" w14:textId="77777777" w:rsidTr="00D210D0">
        <w:trPr>
          <w:trHeight w:val="288"/>
        </w:trPr>
        <w:tc>
          <w:tcPr>
            <w:tcW w:w="6835" w:type="dxa"/>
            <w:hideMark/>
          </w:tcPr>
          <w:p w14:paraId="255746E9" w14:textId="77777777" w:rsidR="00D210D0" w:rsidRPr="00A25D57" w:rsidRDefault="00D210D0" w:rsidP="00175889">
            <w:pPr>
              <w:spacing w:after="0" w:line="240" w:lineRule="auto"/>
              <w:jc w:val="left"/>
              <w:rPr>
                <w:sz w:val="20"/>
                <w:szCs w:val="20"/>
              </w:rPr>
            </w:pPr>
            <w:r w:rsidRPr="00A25D57">
              <w:rPr>
                <w:sz w:val="20"/>
                <w:szCs w:val="20"/>
              </w:rPr>
              <w:t>EPO.23. Chautauqua Short Courses completed</w:t>
            </w:r>
          </w:p>
        </w:tc>
        <w:tc>
          <w:tcPr>
            <w:tcW w:w="5900" w:type="dxa"/>
            <w:hideMark/>
          </w:tcPr>
          <w:p w14:paraId="20480F6B" w14:textId="77777777" w:rsidR="00D210D0" w:rsidRPr="00A25D57" w:rsidRDefault="00D210D0" w:rsidP="00175889">
            <w:pPr>
              <w:spacing w:after="0" w:line="240" w:lineRule="auto"/>
              <w:jc w:val="left"/>
              <w:rPr>
                <w:sz w:val="20"/>
                <w:szCs w:val="20"/>
              </w:rPr>
            </w:pPr>
            <w:r w:rsidRPr="00A25D57">
              <w:rPr>
                <w:sz w:val="20"/>
                <w:szCs w:val="20"/>
              </w:rPr>
              <w:t>EPO.23. Chautauqua Short Courses workshop completed</w:t>
            </w:r>
          </w:p>
        </w:tc>
      </w:tr>
      <w:tr w:rsidR="00D210D0" w:rsidRPr="00A25D57" w14:paraId="170BB13F" w14:textId="77777777" w:rsidTr="004812EF">
        <w:trPr>
          <w:trHeight w:val="288"/>
        </w:trPr>
        <w:tc>
          <w:tcPr>
            <w:tcW w:w="6835" w:type="dxa"/>
            <w:shd w:val="clear" w:color="auto" w:fill="EEF3F8"/>
            <w:hideMark/>
          </w:tcPr>
          <w:p w14:paraId="79942766" w14:textId="77777777" w:rsidR="00D210D0" w:rsidRPr="00A25D57" w:rsidRDefault="00D210D0" w:rsidP="00175889">
            <w:pPr>
              <w:spacing w:after="0" w:line="240" w:lineRule="auto"/>
              <w:jc w:val="left"/>
              <w:rPr>
                <w:sz w:val="20"/>
                <w:szCs w:val="20"/>
              </w:rPr>
            </w:pPr>
            <w:r w:rsidRPr="00A25D57">
              <w:rPr>
                <w:sz w:val="20"/>
                <w:szCs w:val="20"/>
              </w:rPr>
              <w:t>HR.1. Establish FY2022 Observatory Leadership Cohort</w:t>
            </w:r>
          </w:p>
        </w:tc>
        <w:tc>
          <w:tcPr>
            <w:tcW w:w="5900" w:type="dxa"/>
            <w:shd w:val="clear" w:color="auto" w:fill="EEF3F8"/>
            <w:hideMark/>
          </w:tcPr>
          <w:p w14:paraId="43B87921" w14:textId="77777777" w:rsidR="00D210D0" w:rsidRPr="00A25D57" w:rsidRDefault="00D210D0" w:rsidP="00175889">
            <w:pPr>
              <w:spacing w:after="0" w:line="240" w:lineRule="auto"/>
              <w:jc w:val="left"/>
              <w:rPr>
                <w:sz w:val="20"/>
                <w:szCs w:val="20"/>
              </w:rPr>
            </w:pPr>
            <w:r w:rsidRPr="00A25D57">
              <w:rPr>
                <w:sz w:val="20"/>
                <w:szCs w:val="20"/>
              </w:rPr>
              <w:t xml:space="preserve">HR.1. Two GBO staff in OLC program </w:t>
            </w:r>
          </w:p>
        </w:tc>
      </w:tr>
      <w:tr w:rsidR="00D210D0" w:rsidRPr="00A25D57" w14:paraId="28C87591" w14:textId="77777777" w:rsidTr="004812EF">
        <w:trPr>
          <w:trHeight w:val="288"/>
        </w:trPr>
        <w:tc>
          <w:tcPr>
            <w:tcW w:w="6835" w:type="dxa"/>
            <w:shd w:val="clear" w:color="auto" w:fill="EEF3F8"/>
            <w:hideMark/>
          </w:tcPr>
          <w:p w14:paraId="369B7197" w14:textId="77777777" w:rsidR="00D210D0" w:rsidRPr="00A25D57" w:rsidRDefault="00D210D0" w:rsidP="00175889">
            <w:pPr>
              <w:spacing w:after="0" w:line="240" w:lineRule="auto"/>
              <w:jc w:val="left"/>
              <w:rPr>
                <w:sz w:val="20"/>
                <w:szCs w:val="20"/>
              </w:rPr>
            </w:pPr>
            <w:r w:rsidRPr="00A25D57">
              <w:rPr>
                <w:sz w:val="20"/>
                <w:szCs w:val="20"/>
              </w:rPr>
              <w:t>HR.2. Establish Mentoring Program</w:t>
            </w:r>
          </w:p>
        </w:tc>
        <w:tc>
          <w:tcPr>
            <w:tcW w:w="5900" w:type="dxa"/>
            <w:shd w:val="clear" w:color="auto" w:fill="EEF3F8"/>
            <w:hideMark/>
          </w:tcPr>
          <w:p w14:paraId="04616E13" w14:textId="77777777" w:rsidR="00D210D0" w:rsidRPr="00A25D57" w:rsidRDefault="00D210D0" w:rsidP="00175889">
            <w:pPr>
              <w:spacing w:after="0" w:line="240" w:lineRule="auto"/>
              <w:jc w:val="left"/>
              <w:rPr>
                <w:sz w:val="20"/>
                <w:szCs w:val="20"/>
              </w:rPr>
            </w:pPr>
            <w:r w:rsidRPr="00A25D57">
              <w:rPr>
                <w:sz w:val="20"/>
                <w:szCs w:val="20"/>
              </w:rPr>
              <w:t>HR.2. Mentoring program established with 5 GBO mentors</w:t>
            </w:r>
          </w:p>
        </w:tc>
      </w:tr>
      <w:tr w:rsidR="00D210D0" w:rsidRPr="00A25D57" w14:paraId="15ECFCD3" w14:textId="77777777" w:rsidTr="004812EF">
        <w:trPr>
          <w:trHeight w:val="288"/>
        </w:trPr>
        <w:tc>
          <w:tcPr>
            <w:tcW w:w="6835" w:type="dxa"/>
            <w:shd w:val="clear" w:color="auto" w:fill="EEF3F8"/>
            <w:hideMark/>
          </w:tcPr>
          <w:p w14:paraId="2D530B07" w14:textId="77777777" w:rsidR="00D210D0" w:rsidRPr="00A25D57" w:rsidRDefault="00D210D0" w:rsidP="00175889">
            <w:pPr>
              <w:spacing w:after="0" w:line="240" w:lineRule="auto"/>
              <w:jc w:val="left"/>
              <w:rPr>
                <w:sz w:val="20"/>
                <w:szCs w:val="20"/>
              </w:rPr>
            </w:pPr>
            <w:r w:rsidRPr="00A25D57">
              <w:rPr>
                <w:sz w:val="20"/>
                <w:szCs w:val="20"/>
              </w:rPr>
              <w:t>HR.3. Total Rewards compensation evaluation</w:t>
            </w:r>
          </w:p>
        </w:tc>
        <w:tc>
          <w:tcPr>
            <w:tcW w:w="5900" w:type="dxa"/>
            <w:shd w:val="clear" w:color="auto" w:fill="EEF3F8"/>
            <w:hideMark/>
          </w:tcPr>
          <w:p w14:paraId="65DACCBB" w14:textId="77777777" w:rsidR="00D210D0" w:rsidRPr="00A25D57" w:rsidRDefault="00D210D0" w:rsidP="00175889">
            <w:pPr>
              <w:spacing w:after="0" w:line="240" w:lineRule="auto"/>
              <w:jc w:val="left"/>
              <w:rPr>
                <w:sz w:val="20"/>
                <w:szCs w:val="20"/>
              </w:rPr>
            </w:pPr>
            <w:r w:rsidRPr="00A25D57">
              <w:rPr>
                <w:sz w:val="20"/>
                <w:szCs w:val="20"/>
              </w:rPr>
              <w:t>HR.3. Total rewards compensation review completed</w:t>
            </w:r>
          </w:p>
        </w:tc>
      </w:tr>
      <w:tr w:rsidR="00D210D0" w:rsidRPr="00A25D57" w14:paraId="62DF394E" w14:textId="77777777" w:rsidTr="004812EF">
        <w:trPr>
          <w:trHeight w:val="288"/>
        </w:trPr>
        <w:tc>
          <w:tcPr>
            <w:tcW w:w="6835" w:type="dxa"/>
            <w:shd w:val="clear" w:color="auto" w:fill="EEF3F8"/>
            <w:hideMark/>
          </w:tcPr>
          <w:p w14:paraId="3FABEACB" w14:textId="77777777" w:rsidR="00D210D0" w:rsidRPr="00A25D57" w:rsidRDefault="00D210D0" w:rsidP="00175889">
            <w:pPr>
              <w:spacing w:after="0" w:line="240" w:lineRule="auto"/>
              <w:jc w:val="left"/>
              <w:rPr>
                <w:sz w:val="20"/>
                <w:szCs w:val="20"/>
              </w:rPr>
            </w:pPr>
            <w:r w:rsidRPr="00A25D57">
              <w:rPr>
                <w:sz w:val="20"/>
                <w:szCs w:val="20"/>
              </w:rPr>
              <w:t>HR.4. Client Relationship Management System implementation</w:t>
            </w:r>
          </w:p>
        </w:tc>
        <w:tc>
          <w:tcPr>
            <w:tcW w:w="5900" w:type="dxa"/>
            <w:shd w:val="clear" w:color="auto" w:fill="EEF3F8"/>
            <w:hideMark/>
          </w:tcPr>
          <w:p w14:paraId="415B33CE" w14:textId="77777777" w:rsidR="00D210D0" w:rsidRPr="00A25D57" w:rsidRDefault="00D210D0" w:rsidP="00175889">
            <w:pPr>
              <w:spacing w:after="0" w:line="240" w:lineRule="auto"/>
              <w:jc w:val="left"/>
              <w:rPr>
                <w:sz w:val="20"/>
                <w:szCs w:val="20"/>
              </w:rPr>
            </w:pPr>
            <w:r w:rsidRPr="00A25D57">
              <w:rPr>
                <w:sz w:val="20"/>
                <w:szCs w:val="20"/>
              </w:rPr>
              <w:t xml:space="preserve">HR.4. CRM platform implemented for recruitment </w:t>
            </w:r>
          </w:p>
        </w:tc>
      </w:tr>
      <w:tr w:rsidR="00D210D0" w:rsidRPr="00A25D57" w14:paraId="2D8900BF" w14:textId="77777777" w:rsidTr="00D210D0">
        <w:trPr>
          <w:trHeight w:val="300"/>
        </w:trPr>
        <w:tc>
          <w:tcPr>
            <w:tcW w:w="6835" w:type="dxa"/>
            <w:hideMark/>
          </w:tcPr>
          <w:p w14:paraId="28A64C84" w14:textId="77777777" w:rsidR="00D210D0" w:rsidRPr="00A25D57" w:rsidRDefault="00D210D0" w:rsidP="00175889">
            <w:pPr>
              <w:spacing w:after="0" w:line="240" w:lineRule="auto"/>
              <w:jc w:val="left"/>
              <w:rPr>
                <w:sz w:val="20"/>
                <w:szCs w:val="20"/>
              </w:rPr>
            </w:pPr>
            <w:r w:rsidRPr="00A25D57">
              <w:rPr>
                <w:sz w:val="20"/>
                <w:szCs w:val="20"/>
              </w:rPr>
              <w:t>P.1. Fire system inspections</w:t>
            </w:r>
          </w:p>
        </w:tc>
        <w:tc>
          <w:tcPr>
            <w:tcW w:w="5900" w:type="dxa"/>
            <w:hideMark/>
          </w:tcPr>
          <w:p w14:paraId="0ED21C01" w14:textId="77777777" w:rsidR="00D210D0" w:rsidRPr="00A25D57" w:rsidRDefault="00D210D0" w:rsidP="00175889">
            <w:pPr>
              <w:spacing w:after="0" w:line="240" w:lineRule="auto"/>
              <w:jc w:val="left"/>
              <w:rPr>
                <w:sz w:val="20"/>
                <w:szCs w:val="20"/>
              </w:rPr>
            </w:pPr>
            <w:r w:rsidRPr="00A25D57">
              <w:rPr>
                <w:sz w:val="20"/>
                <w:szCs w:val="20"/>
              </w:rPr>
              <w:t>P.1. Fire inspection reports filed</w:t>
            </w:r>
          </w:p>
        </w:tc>
      </w:tr>
      <w:tr w:rsidR="00D210D0" w:rsidRPr="00A25D57" w14:paraId="4A5A0316" w14:textId="77777777" w:rsidTr="00D210D0">
        <w:trPr>
          <w:trHeight w:val="288"/>
        </w:trPr>
        <w:tc>
          <w:tcPr>
            <w:tcW w:w="6835" w:type="dxa"/>
            <w:hideMark/>
          </w:tcPr>
          <w:p w14:paraId="7BEE6391" w14:textId="77777777" w:rsidR="00D210D0" w:rsidRPr="00A25D57" w:rsidRDefault="00D210D0" w:rsidP="00175889">
            <w:pPr>
              <w:spacing w:after="0" w:line="240" w:lineRule="auto"/>
              <w:jc w:val="left"/>
              <w:rPr>
                <w:sz w:val="20"/>
                <w:szCs w:val="20"/>
              </w:rPr>
            </w:pPr>
            <w:r w:rsidRPr="00A25D57">
              <w:rPr>
                <w:sz w:val="20"/>
                <w:szCs w:val="20"/>
              </w:rPr>
              <w:t>P.2. Oil tank replacement</w:t>
            </w:r>
          </w:p>
        </w:tc>
        <w:tc>
          <w:tcPr>
            <w:tcW w:w="5900" w:type="dxa"/>
            <w:hideMark/>
          </w:tcPr>
          <w:p w14:paraId="036EBD1F" w14:textId="77777777" w:rsidR="00D210D0" w:rsidRPr="00A25D57" w:rsidRDefault="00D210D0" w:rsidP="00175889">
            <w:pPr>
              <w:spacing w:after="0" w:line="240" w:lineRule="auto"/>
              <w:jc w:val="left"/>
              <w:rPr>
                <w:sz w:val="20"/>
                <w:szCs w:val="20"/>
              </w:rPr>
            </w:pPr>
            <w:r w:rsidRPr="00A25D57">
              <w:rPr>
                <w:sz w:val="20"/>
                <w:szCs w:val="20"/>
              </w:rPr>
              <w:t>P.2. Oil tank replaced</w:t>
            </w:r>
          </w:p>
        </w:tc>
      </w:tr>
      <w:tr w:rsidR="00D210D0" w:rsidRPr="00A25D57" w14:paraId="216F9005" w14:textId="77777777" w:rsidTr="00D210D0">
        <w:trPr>
          <w:trHeight w:val="288"/>
        </w:trPr>
        <w:tc>
          <w:tcPr>
            <w:tcW w:w="6835" w:type="dxa"/>
            <w:hideMark/>
          </w:tcPr>
          <w:p w14:paraId="7A353F00" w14:textId="77777777" w:rsidR="00D210D0" w:rsidRPr="00A25D57" w:rsidRDefault="00D210D0" w:rsidP="00175889">
            <w:pPr>
              <w:spacing w:after="0" w:line="240" w:lineRule="auto"/>
              <w:jc w:val="left"/>
              <w:rPr>
                <w:sz w:val="20"/>
                <w:szCs w:val="20"/>
              </w:rPr>
            </w:pPr>
            <w:r w:rsidRPr="00A25D57">
              <w:rPr>
                <w:sz w:val="20"/>
                <w:szCs w:val="20"/>
              </w:rPr>
              <w:t>P.3. Works area transformer replacement</w:t>
            </w:r>
          </w:p>
        </w:tc>
        <w:tc>
          <w:tcPr>
            <w:tcW w:w="5900" w:type="dxa"/>
            <w:hideMark/>
          </w:tcPr>
          <w:p w14:paraId="67BEE54C" w14:textId="77777777" w:rsidR="00D210D0" w:rsidRPr="00A25D57" w:rsidRDefault="00D210D0" w:rsidP="00175889">
            <w:pPr>
              <w:spacing w:after="0" w:line="240" w:lineRule="auto"/>
              <w:jc w:val="left"/>
              <w:rPr>
                <w:sz w:val="20"/>
                <w:szCs w:val="20"/>
              </w:rPr>
            </w:pPr>
            <w:r w:rsidRPr="00A25D57">
              <w:rPr>
                <w:sz w:val="20"/>
                <w:szCs w:val="20"/>
              </w:rPr>
              <w:t>P.3. Works area transformer replaced</w:t>
            </w:r>
          </w:p>
        </w:tc>
      </w:tr>
      <w:tr w:rsidR="00D210D0" w:rsidRPr="00A25D57" w14:paraId="3DF996B0" w14:textId="77777777" w:rsidTr="00D210D0">
        <w:trPr>
          <w:trHeight w:val="288"/>
        </w:trPr>
        <w:tc>
          <w:tcPr>
            <w:tcW w:w="6835" w:type="dxa"/>
            <w:hideMark/>
          </w:tcPr>
          <w:p w14:paraId="4FF4C983" w14:textId="77777777" w:rsidR="00D210D0" w:rsidRPr="00A25D57" w:rsidRDefault="00D210D0" w:rsidP="00175889">
            <w:pPr>
              <w:spacing w:after="0" w:line="240" w:lineRule="auto"/>
              <w:jc w:val="left"/>
              <w:rPr>
                <w:sz w:val="20"/>
                <w:szCs w:val="20"/>
              </w:rPr>
            </w:pPr>
            <w:r w:rsidRPr="00A25D57">
              <w:rPr>
                <w:sz w:val="20"/>
                <w:szCs w:val="20"/>
              </w:rPr>
              <w:t>P.4. Jansky Lab generator load study</w:t>
            </w:r>
          </w:p>
        </w:tc>
        <w:tc>
          <w:tcPr>
            <w:tcW w:w="5900" w:type="dxa"/>
            <w:hideMark/>
          </w:tcPr>
          <w:p w14:paraId="7CE37B2E" w14:textId="77777777" w:rsidR="00D210D0" w:rsidRPr="00A25D57" w:rsidRDefault="00D210D0" w:rsidP="00175889">
            <w:pPr>
              <w:spacing w:after="0" w:line="240" w:lineRule="auto"/>
              <w:jc w:val="left"/>
              <w:rPr>
                <w:sz w:val="20"/>
                <w:szCs w:val="20"/>
              </w:rPr>
            </w:pPr>
            <w:r w:rsidRPr="00A25D57">
              <w:rPr>
                <w:sz w:val="20"/>
                <w:szCs w:val="20"/>
              </w:rPr>
              <w:t xml:space="preserve">P.4. Plan created to shed non-critical loads </w:t>
            </w:r>
          </w:p>
        </w:tc>
      </w:tr>
      <w:tr w:rsidR="00D210D0" w:rsidRPr="00A25D57" w14:paraId="638186AC" w14:textId="77777777" w:rsidTr="00D210D0">
        <w:trPr>
          <w:trHeight w:val="288"/>
        </w:trPr>
        <w:tc>
          <w:tcPr>
            <w:tcW w:w="6835" w:type="dxa"/>
            <w:hideMark/>
          </w:tcPr>
          <w:p w14:paraId="2B16A4E5" w14:textId="77777777" w:rsidR="00D210D0" w:rsidRPr="00A25D57" w:rsidRDefault="00D210D0" w:rsidP="00175889">
            <w:pPr>
              <w:spacing w:after="0" w:line="240" w:lineRule="auto"/>
              <w:jc w:val="left"/>
              <w:rPr>
                <w:sz w:val="20"/>
                <w:szCs w:val="20"/>
              </w:rPr>
            </w:pPr>
            <w:r w:rsidRPr="00A25D57">
              <w:rPr>
                <w:sz w:val="20"/>
                <w:szCs w:val="20"/>
              </w:rPr>
              <w:t>P.5. Residence Hall Electrical Upgrade</w:t>
            </w:r>
          </w:p>
        </w:tc>
        <w:tc>
          <w:tcPr>
            <w:tcW w:w="5900" w:type="dxa"/>
            <w:hideMark/>
          </w:tcPr>
          <w:p w14:paraId="1EC0BF8F" w14:textId="77777777" w:rsidR="00D210D0" w:rsidRPr="00A25D57" w:rsidRDefault="00D210D0" w:rsidP="00175889">
            <w:pPr>
              <w:spacing w:after="0" w:line="240" w:lineRule="auto"/>
              <w:jc w:val="left"/>
              <w:rPr>
                <w:sz w:val="20"/>
                <w:szCs w:val="20"/>
              </w:rPr>
            </w:pPr>
            <w:r w:rsidRPr="00A25D57">
              <w:rPr>
                <w:sz w:val="20"/>
                <w:szCs w:val="20"/>
              </w:rPr>
              <w:t>P.5. Residence Hall electrical systems upgraded</w:t>
            </w:r>
          </w:p>
        </w:tc>
      </w:tr>
      <w:tr w:rsidR="00D210D0" w:rsidRPr="00A25D57" w14:paraId="1BF25FE4" w14:textId="77777777" w:rsidTr="00D210D0">
        <w:trPr>
          <w:trHeight w:val="288"/>
        </w:trPr>
        <w:tc>
          <w:tcPr>
            <w:tcW w:w="6835" w:type="dxa"/>
            <w:hideMark/>
          </w:tcPr>
          <w:p w14:paraId="7B185763" w14:textId="77777777" w:rsidR="00D210D0" w:rsidRPr="00A25D57" w:rsidRDefault="00D210D0" w:rsidP="00175889">
            <w:pPr>
              <w:spacing w:after="0" w:line="240" w:lineRule="auto"/>
              <w:jc w:val="left"/>
              <w:rPr>
                <w:sz w:val="20"/>
                <w:szCs w:val="20"/>
              </w:rPr>
            </w:pPr>
            <w:r w:rsidRPr="00A25D57">
              <w:rPr>
                <w:sz w:val="20"/>
                <w:szCs w:val="20"/>
              </w:rPr>
              <w:t>P.6. New power feeder upgrade</w:t>
            </w:r>
          </w:p>
        </w:tc>
        <w:tc>
          <w:tcPr>
            <w:tcW w:w="5900" w:type="dxa"/>
            <w:hideMark/>
          </w:tcPr>
          <w:p w14:paraId="6FDD682C" w14:textId="77777777" w:rsidR="00D210D0" w:rsidRPr="00A25D57" w:rsidRDefault="00D210D0" w:rsidP="00175889">
            <w:pPr>
              <w:spacing w:after="0" w:line="240" w:lineRule="auto"/>
              <w:jc w:val="left"/>
              <w:rPr>
                <w:sz w:val="20"/>
                <w:szCs w:val="20"/>
              </w:rPr>
            </w:pPr>
            <w:r w:rsidRPr="00A25D57">
              <w:rPr>
                <w:sz w:val="20"/>
                <w:szCs w:val="20"/>
              </w:rPr>
              <w:t>P.6. New Power Feeder from EH #2 to EH #4</w:t>
            </w:r>
          </w:p>
        </w:tc>
      </w:tr>
      <w:tr w:rsidR="00D210D0" w:rsidRPr="00A25D57" w14:paraId="25B3C59F" w14:textId="77777777" w:rsidTr="00D210D0">
        <w:trPr>
          <w:trHeight w:val="288"/>
        </w:trPr>
        <w:tc>
          <w:tcPr>
            <w:tcW w:w="6835" w:type="dxa"/>
            <w:hideMark/>
          </w:tcPr>
          <w:p w14:paraId="3C5563B4" w14:textId="77777777" w:rsidR="00D210D0" w:rsidRPr="00A25D57" w:rsidRDefault="00D210D0" w:rsidP="00175889">
            <w:pPr>
              <w:spacing w:after="0" w:line="240" w:lineRule="auto"/>
              <w:jc w:val="left"/>
              <w:rPr>
                <w:sz w:val="20"/>
                <w:szCs w:val="20"/>
              </w:rPr>
            </w:pPr>
            <w:r w:rsidRPr="00A25D57">
              <w:rPr>
                <w:sz w:val="20"/>
                <w:szCs w:val="20"/>
              </w:rPr>
              <w:t>P.7. ICB Transformer and Service Replacement</w:t>
            </w:r>
          </w:p>
        </w:tc>
        <w:tc>
          <w:tcPr>
            <w:tcW w:w="5900" w:type="dxa"/>
            <w:hideMark/>
          </w:tcPr>
          <w:p w14:paraId="32DEBADF" w14:textId="77777777" w:rsidR="00D210D0" w:rsidRPr="00A25D57" w:rsidRDefault="00D210D0" w:rsidP="00175889">
            <w:pPr>
              <w:spacing w:after="0" w:line="240" w:lineRule="auto"/>
              <w:jc w:val="left"/>
              <w:rPr>
                <w:sz w:val="20"/>
                <w:szCs w:val="20"/>
              </w:rPr>
            </w:pPr>
            <w:r w:rsidRPr="00A25D57">
              <w:rPr>
                <w:sz w:val="20"/>
                <w:szCs w:val="20"/>
              </w:rPr>
              <w:t>P.7. ICB Transformer and Service Replaced</w:t>
            </w:r>
          </w:p>
        </w:tc>
      </w:tr>
      <w:tr w:rsidR="00D210D0" w:rsidRPr="00A25D57" w14:paraId="69A8AF4B" w14:textId="77777777" w:rsidTr="00D210D0">
        <w:trPr>
          <w:trHeight w:val="288"/>
        </w:trPr>
        <w:tc>
          <w:tcPr>
            <w:tcW w:w="6835" w:type="dxa"/>
            <w:hideMark/>
          </w:tcPr>
          <w:p w14:paraId="7CB1189C" w14:textId="77777777" w:rsidR="00D210D0" w:rsidRPr="00A25D57" w:rsidRDefault="00D210D0" w:rsidP="00175889">
            <w:pPr>
              <w:spacing w:after="0" w:line="240" w:lineRule="auto"/>
              <w:jc w:val="left"/>
              <w:rPr>
                <w:sz w:val="20"/>
                <w:szCs w:val="20"/>
              </w:rPr>
            </w:pPr>
            <w:r w:rsidRPr="00A25D57">
              <w:rPr>
                <w:sz w:val="20"/>
                <w:szCs w:val="20"/>
              </w:rPr>
              <w:t>P.8.  New power feeds to GBT warehouse</w:t>
            </w:r>
          </w:p>
        </w:tc>
        <w:tc>
          <w:tcPr>
            <w:tcW w:w="5900" w:type="dxa"/>
            <w:hideMark/>
          </w:tcPr>
          <w:p w14:paraId="310A0D30" w14:textId="77777777" w:rsidR="00D210D0" w:rsidRPr="00A25D57" w:rsidRDefault="00D210D0" w:rsidP="00175889">
            <w:pPr>
              <w:spacing w:after="0" w:line="240" w:lineRule="auto"/>
              <w:jc w:val="left"/>
              <w:rPr>
                <w:sz w:val="20"/>
                <w:szCs w:val="20"/>
              </w:rPr>
            </w:pPr>
            <w:r w:rsidRPr="00A25D57">
              <w:rPr>
                <w:sz w:val="20"/>
                <w:szCs w:val="20"/>
              </w:rPr>
              <w:t xml:space="preserve">P.8. New Power Feeds from EH #5 to GBT Warehouse </w:t>
            </w:r>
          </w:p>
        </w:tc>
      </w:tr>
      <w:tr w:rsidR="00D210D0" w:rsidRPr="00A25D57" w14:paraId="3EDDD036" w14:textId="77777777" w:rsidTr="00D210D0">
        <w:trPr>
          <w:trHeight w:val="288"/>
        </w:trPr>
        <w:tc>
          <w:tcPr>
            <w:tcW w:w="6835" w:type="dxa"/>
            <w:hideMark/>
          </w:tcPr>
          <w:p w14:paraId="0759CDAE" w14:textId="77777777" w:rsidR="00D210D0" w:rsidRPr="00A25D57" w:rsidRDefault="00D210D0" w:rsidP="00175889">
            <w:pPr>
              <w:spacing w:after="0" w:line="240" w:lineRule="auto"/>
              <w:jc w:val="left"/>
              <w:rPr>
                <w:sz w:val="20"/>
                <w:szCs w:val="20"/>
              </w:rPr>
            </w:pPr>
            <w:r w:rsidRPr="00A25D57">
              <w:rPr>
                <w:sz w:val="20"/>
                <w:szCs w:val="20"/>
              </w:rPr>
              <w:t>P.9. New power feeds 300' control</w:t>
            </w:r>
          </w:p>
        </w:tc>
        <w:tc>
          <w:tcPr>
            <w:tcW w:w="5900" w:type="dxa"/>
            <w:hideMark/>
          </w:tcPr>
          <w:p w14:paraId="1B34423D" w14:textId="77777777" w:rsidR="00D210D0" w:rsidRPr="00A25D57" w:rsidRDefault="00D210D0" w:rsidP="00175889">
            <w:pPr>
              <w:spacing w:after="0" w:line="240" w:lineRule="auto"/>
              <w:jc w:val="left"/>
              <w:rPr>
                <w:sz w:val="20"/>
                <w:szCs w:val="20"/>
              </w:rPr>
            </w:pPr>
            <w:r w:rsidRPr="00A25D57">
              <w:rPr>
                <w:sz w:val="20"/>
                <w:szCs w:val="20"/>
              </w:rPr>
              <w:t xml:space="preserve">P.9. New Power Feeds from EH #8 to EH #9 </w:t>
            </w:r>
            <w:r>
              <w:rPr>
                <w:sz w:val="20"/>
                <w:szCs w:val="20"/>
              </w:rPr>
              <w:t xml:space="preserve">- </w:t>
            </w:r>
            <w:r w:rsidRPr="00A25D57">
              <w:rPr>
                <w:sz w:val="20"/>
                <w:szCs w:val="20"/>
              </w:rPr>
              <w:t>300’ Control Building</w:t>
            </w:r>
          </w:p>
        </w:tc>
      </w:tr>
      <w:tr w:rsidR="00D210D0" w:rsidRPr="00A25D57" w14:paraId="0AF8B7EF" w14:textId="77777777" w:rsidTr="00D210D0">
        <w:trPr>
          <w:trHeight w:val="288"/>
        </w:trPr>
        <w:tc>
          <w:tcPr>
            <w:tcW w:w="6835" w:type="dxa"/>
            <w:hideMark/>
          </w:tcPr>
          <w:p w14:paraId="5E898E58" w14:textId="77777777" w:rsidR="00D210D0" w:rsidRPr="00A25D57" w:rsidRDefault="00D210D0" w:rsidP="00175889">
            <w:pPr>
              <w:spacing w:after="0" w:line="240" w:lineRule="auto"/>
              <w:jc w:val="left"/>
              <w:rPr>
                <w:sz w:val="20"/>
                <w:szCs w:val="20"/>
              </w:rPr>
            </w:pPr>
            <w:r w:rsidRPr="00A25D57">
              <w:rPr>
                <w:sz w:val="20"/>
                <w:szCs w:val="20"/>
              </w:rPr>
              <w:t>P.10. Vehicle report (FAST)</w:t>
            </w:r>
          </w:p>
        </w:tc>
        <w:tc>
          <w:tcPr>
            <w:tcW w:w="5900" w:type="dxa"/>
            <w:hideMark/>
          </w:tcPr>
          <w:p w14:paraId="5E26A0EE" w14:textId="77777777" w:rsidR="00D210D0" w:rsidRPr="00A25D57" w:rsidRDefault="00D210D0" w:rsidP="00175889">
            <w:pPr>
              <w:spacing w:after="0" w:line="240" w:lineRule="auto"/>
              <w:jc w:val="left"/>
              <w:rPr>
                <w:sz w:val="20"/>
                <w:szCs w:val="20"/>
              </w:rPr>
            </w:pPr>
            <w:r w:rsidRPr="00A25D57">
              <w:rPr>
                <w:sz w:val="20"/>
                <w:szCs w:val="20"/>
              </w:rPr>
              <w:t>P.10. Vehicle reports submitted</w:t>
            </w:r>
          </w:p>
        </w:tc>
      </w:tr>
      <w:tr w:rsidR="00D210D0" w:rsidRPr="00A25D57" w14:paraId="34F5AE3B" w14:textId="77777777" w:rsidTr="00D210D0">
        <w:trPr>
          <w:trHeight w:val="288"/>
        </w:trPr>
        <w:tc>
          <w:tcPr>
            <w:tcW w:w="6835" w:type="dxa"/>
            <w:hideMark/>
          </w:tcPr>
          <w:p w14:paraId="02B50DC4" w14:textId="77777777" w:rsidR="00D210D0" w:rsidRPr="00A25D57" w:rsidRDefault="00D210D0" w:rsidP="00175889">
            <w:pPr>
              <w:spacing w:after="0" w:line="240" w:lineRule="auto"/>
              <w:jc w:val="left"/>
              <w:rPr>
                <w:sz w:val="20"/>
                <w:szCs w:val="20"/>
              </w:rPr>
            </w:pPr>
            <w:r w:rsidRPr="00A25D57">
              <w:rPr>
                <w:sz w:val="20"/>
                <w:szCs w:val="20"/>
              </w:rPr>
              <w:t>P.11. Energy reports</w:t>
            </w:r>
          </w:p>
        </w:tc>
        <w:tc>
          <w:tcPr>
            <w:tcW w:w="5900" w:type="dxa"/>
            <w:hideMark/>
          </w:tcPr>
          <w:p w14:paraId="76DDC5AE" w14:textId="77777777" w:rsidR="00D210D0" w:rsidRPr="00A25D57" w:rsidRDefault="00D210D0" w:rsidP="00175889">
            <w:pPr>
              <w:spacing w:after="0" w:line="240" w:lineRule="auto"/>
              <w:jc w:val="left"/>
              <w:rPr>
                <w:sz w:val="20"/>
                <w:szCs w:val="20"/>
              </w:rPr>
            </w:pPr>
            <w:r w:rsidRPr="00A25D57">
              <w:rPr>
                <w:sz w:val="20"/>
                <w:szCs w:val="20"/>
              </w:rPr>
              <w:t>P.11. Energy report filed with NSF</w:t>
            </w:r>
          </w:p>
        </w:tc>
      </w:tr>
      <w:tr w:rsidR="00D210D0" w:rsidRPr="00A25D57" w14:paraId="1F8EB28F" w14:textId="77777777" w:rsidTr="00D210D0">
        <w:trPr>
          <w:trHeight w:val="288"/>
        </w:trPr>
        <w:tc>
          <w:tcPr>
            <w:tcW w:w="6835" w:type="dxa"/>
            <w:hideMark/>
          </w:tcPr>
          <w:p w14:paraId="5029EE51" w14:textId="77777777" w:rsidR="00D210D0" w:rsidRPr="00A25D57" w:rsidRDefault="00D210D0" w:rsidP="00175889">
            <w:pPr>
              <w:spacing w:after="0" w:line="240" w:lineRule="auto"/>
              <w:jc w:val="left"/>
              <w:rPr>
                <w:sz w:val="20"/>
                <w:szCs w:val="20"/>
              </w:rPr>
            </w:pPr>
            <w:r w:rsidRPr="00A25D57">
              <w:rPr>
                <w:sz w:val="20"/>
                <w:szCs w:val="20"/>
              </w:rPr>
              <w:t>P.12. Calibration horn rehabilitation plan</w:t>
            </w:r>
          </w:p>
        </w:tc>
        <w:tc>
          <w:tcPr>
            <w:tcW w:w="5900" w:type="dxa"/>
            <w:hideMark/>
          </w:tcPr>
          <w:p w14:paraId="73A86DF1" w14:textId="77777777" w:rsidR="00D210D0" w:rsidRPr="00A25D57" w:rsidRDefault="00D210D0" w:rsidP="00175889">
            <w:pPr>
              <w:spacing w:after="0" w:line="240" w:lineRule="auto"/>
              <w:jc w:val="left"/>
              <w:rPr>
                <w:sz w:val="20"/>
                <w:szCs w:val="20"/>
              </w:rPr>
            </w:pPr>
            <w:r w:rsidRPr="00A25D57">
              <w:rPr>
                <w:sz w:val="20"/>
                <w:szCs w:val="20"/>
              </w:rPr>
              <w:t>P.12. Plan submitted to NSF</w:t>
            </w:r>
          </w:p>
        </w:tc>
      </w:tr>
      <w:tr w:rsidR="00D210D0" w:rsidRPr="00A25D57" w14:paraId="556573E8" w14:textId="77777777" w:rsidTr="00D210D0">
        <w:trPr>
          <w:trHeight w:val="300"/>
        </w:trPr>
        <w:tc>
          <w:tcPr>
            <w:tcW w:w="6835" w:type="dxa"/>
            <w:hideMark/>
          </w:tcPr>
          <w:p w14:paraId="4064E31A" w14:textId="77777777" w:rsidR="00D210D0" w:rsidRPr="00A25D57" w:rsidRDefault="00D210D0" w:rsidP="00175889">
            <w:pPr>
              <w:spacing w:after="0" w:line="240" w:lineRule="auto"/>
              <w:jc w:val="left"/>
              <w:rPr>
                <w:sz w:val="20"/>
                <w:szCs w:val="20"/>
              </w:rPr>
            </w:pPr>
            <w:r w:rsidRPr="00A25D57">
              <w:rPr>
                <w:sz w:val="20"/>
                <w:szCs w:val="20"/>
              </w:rPr>
              <w:t>P.13. Data Center Building commissioned and ready for use</w:t>
            </w:r>
          </w:p>
        </w:tc>
        <w:tc>
          <w:tcPr>
            <w:tcW w:w="5900" w:type="dxa"/>
            <w:hideMark/>
          </w:tcPr>
          <w:p w14:paraId="79693D66" w14:textId="77777777" w:rsidR="00D210D0" w:rsidRPr="00A25D57" w:rsidRDefault="00D210D0" w:rsidP="00175889">
            <w:pPr>
              <w:spacing w:after="0" w:line="240" w:lineRule="auto"/>
              <w:jc w:val="left"/>
              <w:rPr>
                <w:sz w:val="20"/>
                <w:szCs w:val="20"/>
              </w:rPr>
            </w:pPr>
            <w:r w:rsidRPr="00A25D57">
              <w:rPr>
                <w:sz w:val="20"/>
                <w:szCs w:val="20"/>
              </w:rPr>
              <w:t>P.13. Data Center power, switching, networking completed</w:t>
            </w:r>
          </w:p>
        </w:tc>
      </w:tr>
      <w:tr w:rsidR="00D210D0" w:rsidRPr="00A25D57" w14:paraId="3DA7553E" w14:textId="77777777" w:rsidTr="004812EF">
        <w:trPr>
          <w:trHeight w:val="288"/>
        </w:trPr>
        <w:tc>
          <w:tcPr>
            <w:tcW w:w="6835" w:type="dxa"/>
            <w:shd w:val="clear" w:color="auto" w:fill="EEF3F8"/>
            <w:hideMark/>
          </w:tcPr>
          <w:p w14:paraId="301C5CE1" w14:textId="77777777" w:rsidR="00D210D0" w:rsidRPr="00A25D57" w:rsidRDefault="00D210D0" w:rsidP="00175889">
            <w:pPr>
              <w:spacing w:after="0" w:line="240" w:lineRule="auto"/>
              <w:jc w:val="left"/>
              <w:rPr>
                <w:sz w:val="20"/>
                <w:szCs w:val="20"/>
              </w:rPr>
            </w:pPr>
            <w:r w:rsidRPr="00A25D57">
              <w:rPr>
                <w:sz w:val="20"/>
                <w:szCs w:val="20"/>
              </w:rPr>
              <w:t>PM.1. Cyclic Spectroscopy resource plan</w:t>
            </w:r>
          </w:p>
        </w:tc>
        <w:tc>
          <w:tcPr>
            <w:tcW w:w="5900" w:type="dxa"/>
            <w:shd w:val="clear" w:color="auto" w:fill="EEF3F8"/>
            <w:hideMark/>
          </w:tcPr>
          <w:p w14:paraId="4B23F629" w14:textId="77777777" w:rsidR="00D210D0" w:rsidRPr="00A25D57" w:rsidRDefault="00D210D0" w:rsidP="00175889">
            <w:pPr>
              <w:spacing w:after="0" w:line="240" w:lineRule="auto"/>
              <w:jc w:val="left"/>
              <w:rPr>
                <w:sz w:val="20"/>
                <w:szCs w:val="20"/>
              </w:rPr>
            </w:pPr>
            <w:r w:rsidRPr="00A25D57">
              <w:rPr>
                <w:sz w:val="20"/>
                <w:szCs w:val="20"/>
              </w:rPr>
              <w:t>PM.1. Cyclic Spectroscopy Resource Plan approved</w:t>
            </w:r>
          </w:p>
        </w:tc>
      </w:tr>
      <w:tr w:rsidR="00D210D0" w:rsidRPr="00A25D57" w14:paraId="400996FF" w14:textId="77777777" w:rsidTr="004812EF">
        <w:trPr>
          <w:trHeight w:val="300"/>
        </w:trPr>
        <w:tc>
          <w:tcPr>
            <w:tcW w:w="6835" w:type="dxa"/>
            <w:shd w:val="clear" w:color="auto" w:fill="EEF3F8"/>
            <w:hideMark/>
          </w:tcPr>
          <w:p w14:paraId="577DF6E6" w14:textId="77777777" w:rsidR="00D210D0" w:rsidRPr="00A25D57" w:rsidRDefault="00D210D0" w:rsidP="00175889">
            <w:pPr>
              <w:spacing w:after="0" w:line="240" w:lineRule="auto"/>
              <w:jc w:val="left"/>
              <w:rPr>
                <w:sz w:val="20"/>
                <w:szCs w:val="20"/>
              </w:rPr>
            </w:pPr>
            <w:r w:rsidRPr="00A25D57">
              <w:rPr>
                <w:sz w:val="20"/>
                <w:szCs w:val="20"/>
              </w:rPr>
              <w:t>PM.2. UWBR Closeout Report</w:t>
            </w:r>
          </w:p>
        </w:tc>
        <w:tc>
          <w:tcPr>
            <w:tcW w:w="5900" w:type="dxa"/>
            <w:shd w:val="clear" w:color="auto" w:fill="EEF3F8"/>
            <w:hideMark/>
          </w:tcPr>
          <w:p w14:paraId="1675CB6B" w14:textId="77777777" w:rsidR="00D210D0" w:rsidRPr="00A25D57" w:rsidRDefault="00D210D0" w:rsidP="00175889">
            <w:pPr>
              <w:spacing w:after="0" w:line="240" w:lineRule="auto"/>
              <w:jc w:val="left"/>
              <w:rPr>
                <w:sz w:val="20"/>
                <w:szCs w:val="20"/>
              </w:rPr>
            </w:pPr>
            <w:r w:rsidRPr="00A25D57">
              <w:rPr>
                <w:sz w:val="20"/>
                <w:szCs w:val="20"/>
              </w:rPr>
              <w:t>PM.2. UWBR Closeout submitted</w:t>
            </w:r>
          </w:p>
        </w:tc>
      </w:tr>
      <w:tr w:rsidR="00D210D0" w:rsidRPr="00A25D57" w14:paraId="1614C72A" w14:textId="77777777" w:rsidTr="00D210D0">
        <w:trPr>
          <w:trHeight w:val="288"/>
        </w:trPr>
        <w:tc>
          <w:tcPr>
            <w:tcW w:w="6835" w:type="dxa"/>
            <w:hideMark/>
          </w:tcPr>
          <w:p w14:paraId="4AF28748" w14:textId="77777777" w:rsidR="00D210D0" w:rsidRPr="00A25D57" w:rsidRDefault="00D210D0" w:rsidP="00175889">
            <w:pPr>
              <w:spacing w:after="0" w:line="240" w:lineRule="auto"/>
              <w:jc w:val="left"/>
              <w:rPr>
                <w:sz w:val="20"/>
                <w:szCs w:val="20"/>
              </w:rPr>
            </w:pPr>
            <w:r w:rsidRPr="00A25D57">
              <w:rPr>
                <w:sz w:val="20"/>
                <w:szCs w:val="20"/>
              </w:rPr>
              <w:t>PR.1. Materials and support for AAS Winter Meeting</w:t>
            </w:r>
          </w:p>
        </w:tc>
        <w:tc>
          <w:tcPr>
            <w:tcW w:w="5900" w:type="dxa"/>
            <w:hideMark/>
          </w:tcPr>
          <w:p w14:paraId="553CBC68" w14:textId="77777777" w:rsidR="00D210D0" w:rsidRPr="00A25D57" w:rsidRDefault="00D210D0" w:rsidP="00175889">
            <w:pPr>
              <w:spacing w:after="0" w:line="240" w:lineRule="auto"/>
              <w:jc w:val="left"/>
              <w:rPr>
                <w:sz w:val="20"/>
                <w:szCs w:val="20"/>
              </w:rPr>
            </w:pPr>
            <w:r w:rsidRPr="00A25D57">
              <w:rPr>
                <w:sz w:val="20"/>
                <w:szCs w:val="20"/>
              </w:rPr>
              <w:t>PR.1. AAS Winter booth materials and exhibit installation</w:t>
            </w:r>
          </w:p>
        </w:tc>
      </w:tr>
      <w:tr w:rsidR="00D210D0" w:rsidRPr="00A25D57" w14:paraId="0B1E5CEF" w14:textId="77777777" w:rsidTr="00D210D0">
        <w:trPr>
          <w:trHeight w:val="288"/>
        </w:trPr>
        <w:tc>
          <w:tcPr>
            <w:tcW w:w="6835" w:type="dxa"/>
            <w:hideMark/>
          </w:tcPr>
          <w:p w14:paraId="36294085" w14:textId="77777777" w:rsidR="00D210D0" w:rsidRPr="00A25D57" w:rsidRDefault="00D210D0" w:rsidP="00175889">
            <w:pPr>
              <w:spacing w:after="0" w:line="240" w:lineRule="auto"/>
              <w:jc w:val="left"/>
              <w:rPr>
                <w:sz w:val="20"/>
                <w:szCs w:val="20"/>
              </w:rPr>
            </w:pPr>
            <w:r w:rsidRPr="00A25D57">
              <w:rPr>
                <w:sz w:val="20"/>
                <w:szCs w:val="20"/>
              </w:rPr>
              <w:t xml:space="preserve">PR.2. Materials and support for AAS Summer Meeting </w:t>
            </w:r>
          </w:p>
        </w:tc>
        <w:tc>
          <w:tcPr>
            <w:tcW w:w="5900" w:type="dxa"/>
            <w:hideMark/>
          </w:tcPr>
          <w:p w14:paraId="679CF2E0" w14:textId="77777777" w:rsidR="00D210D0" w:rsidRPr="00A25D57" w:rsidRDefault="00D210D0" w:rsidP="00175889">
            <w:pPr>
              <w:spacing w:after="0" w:line="240" w:lineRule="auto"/>
              <w:jc w:val="left"/>
              <w:rPr>
                <w:sz w:val="20"/>
                <w:szCs w:val="20"/>
              </w:rPr>
            </w:pPr>
            <w:r w:rsidRPr="00A25D57">
              <w:rPr>
                <w:sz w:val="20"/>
                <w:szCs w:val="20"/>
              </w:rPr>
              <w:t>PR.2. AAS Summer booth materials and exhibit installation</w:t>
            </w:r>
          </w:p>
        </w:tc>
      </w:tr>
      <w:tr w:rsidR="00D210D0" w:rsidRPr="00A25D57" w14:paraId="6461228F" w14:textId="77777777" w:rsidTr="00D210D0">
        <w:trPr>
          <w:trHeight w:val="288"/>
        </w:trPr>
        <w:tc>
          <w:tcPr>
            <w:tcW w:w="6835" w:type="dxa"/>
            <w:hideMark/>
          </w:tcPr>
          <w:p w14:paraId="26E00355" w14:textId="77777777" w:rsidR="00D210D0" w:rsidRPr="00A25D57" w:rsidRDefault="00D210D0" w:rsidP="00175889">
            <w:pPr>
              <w:spacing w:after="0" w:line="240" w:lineRule="auto"/>
              <w:jc w:val="left"/>
              <w:rPr>
                <w:sz w:val="20"/>
                <w:szCs w:val="20"/>
              </w:rPr>
            </w:pPr>
            <w:r w:rsidRPr="00A25D57">
              <w:rPr>
                <w:sz w:val="20"/>
                <w:szCs w:val="20"/>
              </w:rPr>
              <w:t>PR.3. Update design/content of 2022 Facilities booklet</w:t>
            </w:r>
          </w:p>
        </w:tc>
        <w:tc>
          <w:tcPr>
            <w:tcW w:w="5900" w:type="dxa"/>
            <w:hideMark/>
          </w:tcPr>
          <w:p w14:paraId="7AECAACB" w14:textId="77777777" w:rsidR="00D210D0" w:rsidRPr="00A25D57" w:rsidRDefault="00D210D0" w:rsidP="00175889">
            <w:pPr>
              <w:spacing w:after="0" w:line="240" w:lineRule="auto"/>
              <w:jc w:val="left"/>
              <w:rPr>
                <w:sz w:val="20"/>
                <w:szCs w:val="20"/>
              </w:rPr>
            </w:pPr>
            <w:r w:rsidRPr="00A25D57">
              <w:rPr>
                <w:sz w:val="20"/>
                <w:szCs w:val="20"/>
              </w:rPr>
              <w:t>PR.3. Produce and distribute 2022 Facilities Booklet</w:t>
            </w:r>
          </w:p>
        </w:tc>
      </w:tr>
      <w:tr w:rsidR="00D210D0" w:rsidRPr="00A25D57" w14:paraId="7438C490" w14:textId="77777777" w:rsidTr="004812EF">
        <w:trPr>
          <w:trHeight w:val="288"/>
        </w:trPr>
        <w:tc>
          <w:tcPr>
            <w:tcW w:w="6835" w:type="dxa"/>
            <w:shd w:val="clear" w:color="auto" w:fill="EEF3F8"/>
            <w:hideMark/>
          </w:tcPr>
          <w:p w14:paraId="7D77A8AE" w14:textId="77777777" w:rsidR="00D210D0" w:rsidRPr="00A25D57" w:rsidRDefault="00D210D0" w:rsidP="00175889">
            <w:pPr>
              <w:spacing w:after="0" w:line="240" w:lineRule="auto"/>
              <w:jc w:val="left"/>
              <w:rPr>
                <w:sz w:val="20"/>
                <w:szCs w:val="20"/>
              </w:rPr>
            </w:pPr>
            <w:r w:rsidRPr="00A25D57">
              <w:rPr>
                <w:sz w:val="20"/>
                <w:szCs w:val="20"/>
              </w:rPr>
              <w:t>Sc.1. Semester 22A TAC Materials</w:t>
            </w:r>
          </w:p>
        </w:tc>
        <w:tc>
          <w:tcPr>
            <w:tcW w:w="5900" w:type="dxa"/>
            <w:shd w:val="clear" w:color="auto" w:fill="EEF3F8"/>
            <w:hideMark/>
          </w:tcPr>
          <w:p w14:paraId="728F0827" w14:textId="77777777" w:rsidR="00D210D0" w:rsidRPr="00A25D57" w:rsidRDefault="00D210D0" w:rsidP="00175889">
            <w:pPr>
              <w:spacing w:after="0" w:line="240" w:lineRule="auto"/>
              <w:jc w:val="left"/>
              <w:rPr>
                <w:sz w:val="20"/>
                <w:szCs w:val="20"/>
              </w:rPr>
            </w:pPr>
            <w:r w:rsidRPr="00A25D57">
              <w:rPr>
                <w:sz w:val="20"/>
                <w:szCs w:val="20"/>
              </w:rPr>
              <w:t>Sc.1. Semester 22A TAC Booklet</w:t>
            </w:r>
          </w:p>
        </w:tc>
      </w:tr>
      <w:tr w:rsidR="00D210D0" w:rsidRPr="00A25D57" w14:paraId="1ADB0A93" w14:textId="77777777" w:rsidTr="004812EF">
        <w:trPr>
          <w:trHeight w:val="288"/>
        </w:trPr>
        <w:tc>
          <w:tcPr>
            <w:tcW w:w="6835" w:type="dxa"/>
            <w:shd w:val="clear" w:color="auto" w:fill="EEF3F8"/>
            <w:hideMark/>
          </w:tcPr>
          <w:p w14:paraId="40D9C704" w14:textId="77777777" w:rsidR="00D210D0" w:rsidRPr="00A25D57" w:rsidRDefault="00D210D0" w:rsidP="00175889">
            <w:pPr>
              <w:spacing w:after="0" w:line="240" w:lineRule="auto"/>
              <w:jc w:val="left"/>
              <w:rPr>
                <w:sz w:val="20"/>
                <w:szCs w:val="20"/>
              </w:rPr>
            </w:pPr>
            <w:r w:rsidRPr="00A25D57">
              <w:rPr>
                <w:sz w:val="20"/>
                <w:szCs w:val="20"/>
              </w:rPr>
              <w:t>Sc.2. Semester 22A Review complete</w:t>
            </w:r>
          </w:p>
        </w:tc>
        <w:tc>
          <w:tcPr>
            <w:tcW w:w="5900" w:type="dxa"/>
            <w:shd w:val="clear" w:color="auto" w:fill="EEF3F8"/>
            <w:hideMark/>
          </w:tcPr>
          <w:p w14:paraId="7DB4C448" w14:textId="77777777" w:rsidR="00D210D0" w:rsidRPr="00A25D57" w:rsidRDefault="00D210D0" w:rsidP="00175889">
            <w:pPr>
              <w:spacing w:after="0" w:line="240" w:lineRule="auto"/>
              <w:jc w:val="left"/>
              <w:rPr>
                <w:sz w:val="20"/>
                <w:szCs w:val="20"/>
              </w:rPr>
            </w:pPr>
            <w:r w:rsidRPr="00A25D57">
              <w:rPr>
                <w:sz w:val="20"/>
                <w:szCs w:val="20"/>
              </w:rPr>
              <w:t>Sc.2. Semester 22A Disposition letters, Web pages</w:t>
            </w:r>
          </w:p>
        </w:tc>
      </w:tr>
      <w:tr w:rsidR="00D210D0" w:rsidRPr="00A25D57" w14:paraId="5F23F83A" w14:textId="77777777" w:rsidTr="004812EF">
        <w:trPr>
          <w:trHeight w:val="300"/>
        </w:trPr>
        <w:tc>
          <w:tcPr>
            <w:tcW w:w="6835" w:type="dxa"/>
            <w:shd w:val="clear" w:color="auto" w:fill="EEF3F8"/>
            <w:hideMark/>
          </w:tcPr>
          <w:p w14:paraId="60316C29" w14:textId="77777777" w:rsidR="00D210D0" w:rsidRPr="00A25D57" w:rsidRDefault="00D210D0" w:rsidP="00175889">
            <w:pPr>
              <w:spacing w:after="0" w:line="240" w:lineRule="auto"/>
              <w:jc w:val="left"/>
              <w:rPr>
                <w:sz w:val="20"/>
                <w:szCs w:val="20"/>
              </w:rPr>
            </w:pPr>
            <w:r w:rsidRPr="00A25D57">
              <w:rPr>
                <w:sz w:val="20"/>
                <w:szCs w:val="20"/>
              </w:rPr>
              <w:t>Sc.3. Release 22B proposal call</w:t>
            </w:r>
          </w:p>
        </w:tc>
        <w:tc>
          <w:tcPr>
            <w:tcW w:w="5900" w:type="dxa"/>
            <w:shd w:val="clear" w:color="auto" w:fill="EEF3F8"/>
            <w:hideMark/>
          </w:tcPr>
          <w:p w14:paraId="630F5B07" w14:textId="77777777" w:rsidR="00D210D0" w:rsidRPr="00A25D57" w:rsidRDefault="00D210D0" w:rsidP="00175889">
            <w:pPr>
              <w:spacing w:after="0" w:line="240" w:lineRule="auto"/>
              <w:jc w:val="left"/>
              <w:rPr>
                <w:sz w:val="20"/>
                <w:szCs w:val="20"/>
              </w:rPr>
            </w:pPr>
            <w:r w:rsidRPr="00A25D57">
              <w:rPr>
                <w:sz w:val="20"/>
                <w:szCs w:val="20"/>
              </w:rPr>
              <w:t>Sc.3. Observer community notification</w:t>
            </w:r>
          </w:p>
        </w:tc>
      </w:tr>
      <w:tr w:rsidR="00D210D0" w:rsidRPr="00A25D57" w14:paraId="1EAF7E39" w14:textId="77777777" w:rsidTr="004812EF">
        <w:trPr>
          <w:trHeight w:val="288"/>
        </w:trPr>
        <w:tc>
          <w:tcPr>
            <w:tcW w:w="6835" w:type="dxa"/>
            <w:shd w:val="clear" w:color="auto" w:fill="EEF3F8"/>
            <w:hideMark/>
          </w:tcPr>
          <w:p w14:paraId="01F6BD5D" w14:textId="77777777" w:rsidR="00D210D0" w:rsidRPr="00A25D57" w:rsidRDefault="00D210D0" w:rsidP="00175889">
            <w:pPr>
              <w:spacing w:after="0" w:line="240" w:lineRule="auto"/>
              <w:jc w:val="left"/>
              <w:rPr>
                <w:sz w:val="20"/>
                <w:szCs w:val="20"/>
              </w:rPr>
            </w:pPr>
            <w:r w:rsidRPr="00A25D57">
              <w:rPr>
                <w:sz w:val="20"/>
                <w:szCs w:val="20"/>
              </w:rPr>
              <w:lastRenderedPageBreak/>
              <w:t>Sc.4. Semester 22B TAC Materials</w:t>
            </w:r>
          </w:p>
        </w:tc>
        <w:tc>
          <w:tcPr>
            <w:tcW w:w="5900" w:type="dxa"/>
            <w:shd w:val="clear" w:color="auto" w:fill="EEF3F8"/>
            <w:hideMark/>
          </w:tcPr>
          <w:p w14:paraId="71CB48A9" w14:textId="77777777" w:rsidR="00D210D0" w:rsidRPr="00A25D57" w:rsidRDefault="00D210D0" w:rsidP="00175889">
            <w:pPr>
              <w:spacing w:after="0" w:line="240" w:lineRule="auto"/>
              <w:jc w:val="left"/>
              <w:rPr>
                <w:sz w:val="20"/>
                <w:szCs w:val="20"/>
              </w:rPr>
            </w:pPr>
            <w:r w:rsidRPr="00A25D57">
              <w:rPr>
                <w:sz w:val="20"/>
                <w:szCs w:val="20"/>
              </w:rPr>
              <w:t>Sc.4. Semester 22B TAC Booklet</w:t>
            </w:r>
          </w:p>
        </w:tc>
      </w:tr>
      <w:tr w:rsidR="00D210D0" w:rsidRPr="00A25D57" w14:paraId="336B8B03" w14:textId="77777777" w:rsidTr="004812EF">
        <w:trPr>
          <w:trHeight w:val="288"/>
        </w:trPr>
        <w:tc>
          <w:tcPr>
            <w:tcW w:w="6835" w:type="dxa"/>
            <w:shd w:val="clear" w:color="auto" w:fill="EEF3F8"/>
            <w:hideMark/>
          </w:tcPr>
          <w:p w14:paraId="4D8A20CE" w14:textId="77777777" w:rsidR="00D210D0" w:rsidRPr="00A25D57" w:rsidRDefault="00D210D0" w:rsidP="00175889">
            <w:pPr>
              <w:spacing w:after="0" w:line="240" w:lineRule="auto"/>
              <w:jc w:val="left"/>
              <w:rPr>
                <w:sz w:val="20"/>
                <w:szCs w:val="20"/>
              </w:rPr>
            </w:pPr>
            <w:r w:rsidRPr="00A25D57">
              <w:rPr>
                <w:sz w:val="20"/>
                <w:szCs w:val="20"/>
              </w:rPr>
              <w:t>Sc.5. 22B Proposal review complete</w:t>
            </w:r>
          </w:p>
        </w:tc>
        <w:tc>
          <w:tcPr>
            <w:tcW w:w="5900" w:type="dxa"/>
            <w:shd w:val="clear" w:color="auto" w:fill="EEF3F8"/>
            <w:hideMark/>
          </w:tcPr>
          <w:p w14:paraId="47195F58" w14:textId="77777777" w:rsidR="00D210D0" w:rsidRPr="00A25D57" w:rsidRDefault="00D210D0" w:rsidP="00175889">
            <w:pPr>
              <w:spacing w:after="0" w:line="240" w:lineRule="auto"/>
              <w:jc w:val="left"/>
              <w:rPr>
                <w:sz w:val="20"/>
                <w:szCs w:val="20"/>
              </w:rPr>
            </w:pPr>
            <w:r w:rsidRPr="00A25D57">
              <w:rPr>
                <w:sz w:val="20"/>
                <w:szCs w:val="20"/>
              </w:rPr>
              <w:t>Sc.5. Semester 22B Disposition letters, Web pages</w:t>
            </w:r>
          </w:p>
        </w:tc>
      </w:tr>
      <w:tr w:rsidR="00D210D0" w:rsidRPr="00A25D57" w14:paraId="50BE2EC7" w14:textId="77777777" w:rsidTr="004812EF">
        <w:trPr>
          <w:trHeight w:val="288"/>
        </w:trPr>
        <w:tc>
          <w:tcPr>
            <w:tcW w:w="6835" w:type="dxa"/>
            <w:shd w:val="clear" w:color="auto" w:fill="EEF3F8"/>
            <w:hideMark/>
          </w:tcPr>
          <w:p w14:paraId="3FC0B5FA" w14:textId="77777777" w:rsidR="00D210D0" w:rsidRPr="00A25D57" w:rsidRDefault="00D210D0" w:rsidP="00175889">
            <w:pPr>
              <w:spacing w:after="0" w:line="240" w:lineRule="auto"/>
              <w:jc w:val="left"/>
              <w:rPr>
                <w:sz w:val="20"/>
                <w:szCs w:val="20"/>
              </w:rPr>
            </w:pPr>
            <w:r w:rsidRPr="00A25D57">
              <w:rPr>
                <w:sz w:val="20"/>
                <w:szCs w:val="20"/>
              </w:rPr>
              <w:t>Sc.6. Release Semester 23A proposal call</w:t>
            </w:r>
          </w:p>
        </w:tc>
        <w:tc>
          <w:tcPr>
            <w:tcW w:w="5900" w:type="dxa"/>
            <w:shd w:val="clear" w:color="auto" w:fill="EEF3F8"/>
            <w:hideMark/>
          </w:tcPr>
          <w:p w14:paraId="5F120106" w14:textId="77777777" w:rsidR="00D210D0" w:rsidRPr="00A25D57" w:rsidRDefault="00D210D0" w:rsidP="00175889">
            <w:pPr>
              <w:spacing w:after="0" w:line="240" w:lineRule="auto"/>
              <w:jc w:val="left"/>
              <w:rPr>
                <w:sz w:val="20"/>
                <w:szCs w:val="20"/>
              </w:rPr>
            </w:pPr>
            <w:r w:rsidRPr="00A25D57">
              <w:rPr>
                <w:sz w:val="20"/>
                <w:szCs w:val="20"/>
              </w:rPr>
              <w:t>Sc.6. Observer community notification</w:t>
            </w:r>
          </w:p>
        </w:tc>
      </w:tr>
      <w:tr w:rsidR="00D210D0" w:rsidRPr="00A25D57" w14:paraId="2554F4C1" w14:textId="77777777" w:rsidTr="004812EF">
        <w:trPr>
          <w:trHeight w:val="288"/>
        </w:trPr>
        <w:tc>
          <w:tcPr>
            <w:tcW w:w="6835" w:type="dxa"/>
            <w:shd w:val="clear" w:color="auto" w:fill="EEF3F8"/>
            <w:hideMark/>
          </w:tcPr>
          <w:p w14:paraId="2B155BD7" w14:textId="77777777" w:rsidR="00D210D0" w:rsidRPr="00A25D57" w:rsidRDefault="00D210D0" w:rsidP="00175889">
            <w:pPr>
              <w:spacing w:after="0" w:line="240" w:lineRule="auto"/>
              <w:jc w:val="left"/>
              <w:rPr>
                <w:sz w:val="20"/>
                <w:szCs w:val="20"/>
              </w:rPr>
            </w:pPr>
            <w:r w:rsidRPr="00A25D57">
              <w:rPr>
                <w:sz w:val="20"/>
                <w:szCs w:val="20"/>
              </w:rPr>
              <w:t>Sc.7. Track performance measurements</w:t>
            </w:r>
          </w:p>
        </w:tc>
        <w:tc>
          <w:tcPr>
            <w:tcW w:w="5900" w:type="dxa"/>
            <w:shd w:val="clear" w:color="auto" w:fill="EEF3F8"/>
            <w:hideMark/>
          </w:tcPr>
          <w:p w14:paraId="6D710EE2" w14:textId="77777777" w:rsidR="00D210D0" w:rsidRPr="00A25D57" w:rsidRDefault="00D210D0" w:rsidP="00175889">
            <w:pPr>
              <w:spacing w:after="0" w:line="240" w:lineRule="auto"/>
              <w:jc w:val="left"/>
              <w:rPr>
                <w:sz w:val="20"/>
                <w:szCs w:val="20"/>
              </w:rPr>
            </w:pPr>
            <w:r w:rsidRPr="00A25D57">
              <w:rPr>
                <w:sz w:val="20"/>
                <w:szCs w:val="20"/>
              </w:rPr>
              <w:t>Sc.7. Measure the track smoothness after the summer track work</w:t>
            </w:r>
          </w:p>
        </w:tc>
      </w:tr>
      <w:tr w:rsidR="00D210D0" w:rsidRPr="00A25D57" w14:paraId="760D3C3A" w14:textId="77777777" w:rsidTr="004812EF">
        <w:trPr>
          <w:trHeight w:val="288"/>
        </w:trPr>
        <w:tc>
          <w:tcPr>
            <w:tcW w:w="6835" w:type="dxa"/>
            <w:shd w:val="clear" w:color="auto" w:fill="EEF3F8"/>
            <w:hideMark/>
          </w:tcPr>
          <w:p w14:paraId="473E654E" w14:textId="77777777" w:rsidR="00D210D0" w:rsidRPr="00A25D57" w:rsidRDefault="00D210D0" w:rsidP="00175889">
            <w:pPr>
              <w:spacing w:after="0" w:line="240" w:lineRule="auto"/>
              <w:jc w:val="left"/>
              <w:rPr>
                <w:sz w:val="20"/>
                <w:szCs w:val="20"/>
              </w:rPr>
            </w:pPr>
            <w:r w:rsidRPr="00A25D57">
              <w:rPr>
                <w:sz w:val="20"/>
                <w:szCs w:val="20"/>
              </w:rPr>
              <w:t>Sc.8. Track model updated</w:t>
            </w:r>
          </w:p>
        </w:tc>
        <w:tc>
          <w:tcPr>
            <w:tcW w:w="5900" w:type="dxa"/>
            <w:shd w:val="clear" w:color="auto" w:fill="EEF3F8"/>
            <w:hideMark/>
          </w:tcPr>
          <w:p w14:paraId="3FC14F55" w14:textId="77777777" w:rsidR="00D210D0" w:rsidRPr="00A25D57" w:rsidRDefault="00D210D0" w:rsidP="00175889">
            <w:pPr>
              <w:spacing w:after="0" w:line="240" w:lineRule="auto"/>
              <w:jc w:val="left"/>
              <w:rPr>
                <w:sz w:val="20"/>
                <w:szCs w:val="20"/>
              </w:rPr>
            </w:pPr>
            <w:r w:rsidRPr="00A25D57">
              <w:rPr>
                <w:sz w:val="20"/>
                <w:szCs w:val="20"/>
              </w:rPr>
              <w:t>Sc.8. Update the track lambda values of the pointing model.</w:t>
            </w:r>
          </w:p>
        </w:tc>
      </w:tr>
      <w:tr w:rsidR="00D210D0" w:rsidRPr="00A25D57" w14:paraId="170CC784" w14:textId="77777777" w:rsidTr="004812EF">
        <w:trPr>
          <w:trHeight w:val="260"/>
        </w:trPr>
        <w:tc>
          <w:tcPr>
            <w:tcW w:w="6835" w:type="dxa"/>
            <w:shd w:val="clear" w:color="auto" w:fill="EEF3F8"/>
            <w:hideMark/>
          </w:tcPr>
          <w:p w14:paraId="74CC80CB" w14:textId="77777777" w:rsidR="00D210D0" w:rsidRPr="00A25D57" w:rsidRDefault="00D210D0" w:rsidP="00175889">
            <w:pPr>
              <w:spacing w:after="0" w:line="240" w:lineRule="auto"/>
              <w:jc w:val="left"/>
              <w:rPr>
                <w:sz w:val="20"/>
                <w:szCs w:val="20"/>
              </w:rPr>
            </w:pPr>
            <w:r w:rsidRPr="00A25D57">
              <w:rPr>
                <w:sz w:val="20"/>
                <w:szCs w:val="20"/>
              </w:rPr>
              <w:t>Sc.9. Argus and W-band documentation</w:t>
            </w:r>
          </w:p>
        </w:tc>
        <w:tc>
          <w:tcPr>
            <w:tcW w:w="5900" w:type="dxa"/>
            <w:shd w:val="clear" w:color="auto" w:fill="EEF3F8"/>
            <w:hideMark/>
          </w:tcPr>
          <w:p w14:paraId="6475D22C" w14:textId="77777777" w:rsidR="00D210D0" w:rsidRPr="00A25D57" w:rsidRDefault="00D210D0" w:rsidP="00175889">
            <w:pPr>
              <w:spacing w:after="0" w:line="240" w:lineRule="auto"/>
              <w:jc w:val="left"/>
              <w:rPr>
                <w:sz w:val="20"/>
                <w:szCs w:val="20"/>
              </w:rPr>
            </w:pPr>
            <w:r w:rsidRPr="00A25D57">
              <w:rPr>
                <w:sz w:val="20"/>
                <w:szCs w:val="20"/>
              </w:rPr>
              <w:t xml:space="preserve">Sc.9. </w:t>
            </w:r>
            <w:r w:rsidRPr="00D210D0">
              <w:rPr>
                <w:spacing w:val="-2"/>
                <w:sz w:val="20"/>
                <w:szCs w:val="20"/>
              </w:rPr>
              <w:t>Document receiver and FITS files produced by Argus and W-band</w:t>
            </w:r>
          </w:p>
        </w:tc>
      </w:tr>
      <w:tr w:rsidR="00D210D0" w:rsidRPr="00A25D57" w14:paraId="71939E5A" w14:textId="77777777" w:rsidTr="004812EF">
        <w:trPr>
          <w:trHeight w:val="288"/>
        </w:trPr>
        <w:tc>
          <w:tcPr>
            <w:tcW w:w="6835" w:type="dxa"/>
            <w:shd w:val="clear" w:color="auto" w:fill="EEF3F8"/>
            <w:hideMark/>
          </w:tcPr>
          <w:p w14:paraId="604ECB26" w14:textId="77777777" w:rsidR="00D210D0" w:rsidRPr="00A25D57" w:rsidRDefault="00D210D0" w:rsidP="00175889">
            <w:pPr>
              <w:spacing w:after="0" w:line="240" w:lineRule="auto"/>
              <w:jc w:val="left"/>
              <w:rPr>
                <w:sz w:val="20"/>
                <w:szCs w:val="20"/>
              </w:rPr>
            </w:pPr>
            <w:r w:rsidRPr="00A25D57">
              <w:rPr>
                <w:sz w:val="20"/>
                <w:szCs w:val="20"/>
              </w:rPr>
              <w:t>Sc.10. Conduct undergraduate training ‘Bootcamp’</w:t>
            </w:r>
          </w:p>
        </w:tc>
        <w:tc>
          <w:tcPr>
            <w:tcW w:w="5900" w:type="dxa"/>
            <w:shd w:val="clear" w:color="auto" w:fill="EEF3F8"/>
            <w:hideMark/>
          </w:tcPr>
          <w:p w14:paraId="49D4537C" w14:textId="77777777" w:rsidR="00D210D0" w:rsidRPr="00A25D57" w:rsidRDefault="00D210D0" w:rsidP="00175889">
            <w:pPr>
              <w:spacing w:after="0" w:line="240" w:lineRule="auto"/>
              <w:jc w:val="left"/>
              <w:rPr>
                <w:sz w:val="20"/>
                <w:szCs w:val="20"/>
              </w:rPr>
            </w:pPr>
            <w:r w:rsidRPr="00A25D57">
              <w:rPr>
                <w:sz w:val="20"/>
                <w:szCs w:val="20"/>
              </w:rPr>
              <w:t>Sc.10. Staff training presentations</w:t>
            </w:r>
          </w:p>
        </w:tc>
      </w:tr>
      <w:tr w:rsidR="00D210D0" w:rsidRPr="00A25D57" w14:paraId="7DF3C7D0" w14:textId="77777777" w:rsidTr="004812EF">
        <w:trPr>
          <w:trHeight w:val="288"/>
        </w:trPr>
        <w:tc>
          <w:tcPr>
            <w:tcW w:w="6835" w:type="dxa"/>
            <w:shd w:val="clear" w:color="auto" w:fill="EEF3F8"/>
            <w:hideMark/>
          </w:tcPr>
          <w:p w14:paraId="472EC886" w14:textId="77777777" w:rsidR="00D210D0" w:rsidRPr="00A25D57" w:rsidRDefault="00D210D0" w:rsidP="00175889">
            <w:pPr>
              <w:spacing w:after="0" w:line="240" w:lineRule="auto"/>
              <w:jc w:val="left"/>
              <w:rPr>
                <w:sz w:val="20"/>
                <w:szCs w:val="20"/>
              </w:rPr>
            </w:pPr>
            <w:r w:rsidRPr="00A25D57">
              <w:rPr>
                <w:sz w:val="20"/>
                <w:szCs w:val="20"/>
              </w:rPr>
              <w:t>Sc.11. Summer student program conclusion</w:t>
            </w:r>
          </w:p>
        </w:tc>
        <w:tc>
          <w:tcPr>
            <w:tcW w:w="5900" w:type="dxa"/>
            <w:shd w:val="clear" w:color="auto" w:fill="EEF3F8"/>
            <w:hideMark/>
          </w:tcPr>
          <w:p w14:paraId="68CF90D2" w14:textId="77777777" w:rsidR="00D210D0" w:rsidRPr="00A25D57" w:rsidRDefault="00D210D0" w:rsidP="00175889">
            <w:pPr>
              <w:spacing w:after="0" w:line="240" w:lineRule="auto"/>
              <w:jc w:val="left"/>
              <w:rPr>
                <w:sz w:val="20"/>
                <w:szCs w:val="20"/>
              </w:rPr>
            </w:pPr>
            <w:r w:rsidRPr="00A25D57">
              <w:rPr>
                <w:sz w:val="20"/>
                <w:szCs w:val="20"/>
              </w:rPr>
              <w:t>Sc.11. Student presentations</w:t>
            </w:r>
          </w:p>
        </w:tc>
      </w:tr>
      <w:tr w:rsidR="00D210D0" w:rsidRPr="00A25D57" w14:paraId="4AC0A41B" w14:textId="77777777" w:rsidTr="004812EF">
        <w:trPr>
          <w:trHeight w:val="288"/>
        </w:trPr>
        <w:tc>
          <w:tcPr>
            <w:tcW w:w="6835" w:type="dxa"/>
            <w:shd w:val="clear" w:color="auto" w:fill="EEF3F8"/>
            <w:hideMark/>
          </w:tcPr>
          <w:p w14:paraId="0C457C9D" w14:textId="77777777" w:rsidR="00D210D0" w:rsidRPr="00A25D57" w:rsidRDefault="00D210D0" w:rsidP="00175889">
            <w:pPr>
              <w:spacing w:after="0" w:line="240" w:lineRule="auto"/>
              <w:jc w:val="left"/>
              <w:rPr>
                <w:sz w:val="20"/>
                <w:szCs w:val="20"/>
              </w:rPr>
            </w:pPr>
            <w:r w:rsidRPr="00A25D57">
              <w:rPr>
                <w:sz w:val="20"/>
                <w:szCs w:val="20"/>
              </w:rPr>
              <w:t>Sc.12. DSS 2.0 Initial Science &amp; Operations Requirements</w:t>
            </w:r>
          </w:p>
        </w:tc>
        <w:tc>
          <w:tcPr>
            <w:tcW w:w="5900" w:type="dxa"/>
            <w:shd w:val="clear" w:color="auto" w:fill="EEF3F8"/>
            <w:hideMark/>
          </w:tcPr>
          <w:p w14:paraId="60CA44DC" w14:textId="77777777" w:rsidR="00D210D0" w:rsidRPr="00A25D57" w:rsidRDefault="00D210D0" w:rsidP="00175889">
            <w:pPr>
              <w:spacing w:after="0" w:line="240" w:lineRule="auto"/>
              <w:jc w:val="left"/>
              <w:rPr>
                <w:sz w:val="20"/>
                <w:szCs w:val="20"/>
              </w:rPr>
            </w:pPr>
            <w:r w:rsidRPr="00A25D57">
              <w:rPr>
                <w:sz w:val="20"/>
                <w:szCs w:val="20"/>
              </w:rPr>
              <w:t>Sc.12. Stakeholder Requirements document</w:t>
            </w:r>
          </w:p>
        </w:tc>
      </w:tr>
      <w:tr w:rsidR="00D210D0" w:rsidRPr="00A25D57" w14:paraId="4FE41287" w14:textId="77777777" w:rsidTr="004812EF">
        <w:trPr>
          <w:trHeight w:val="288"/>
        </w:trPr>
        <w:tc>
          <w:tcPr>
            <w:tcW w:w="6835" w:type="dxa"/>
            <w:shd w:val="clear" w:color="auto" w:fill="EEF3F8"/>
            <w:hideMark/>
          </w:tcPr>
          <w:p w14:paraId="5B648722" w14:textId="77777777" w:rsidR="00D210D0" w:rsidRPr="00A25D57" w:rsidRDefault="00D210D0" w:rsidP="00175889">
            <w:pPr>
              <w:spacing w:after="0" w:line="240" w:lineRule="auto"/>
              <w:jc w:val="left"/>
              <w:rPr>
                <w:sz w:val="20"/>
                <w:szCs w:val="20"/>
              </w:rPr>
            </w:pPr>
            <w:r w:rsidRPr="00A25D57">
              <w:rPr>
                <w:sz w:val="20"/>
                <w:szCs w:val="20"/>
              </w:rPr>
              <w:t>Sc.13. Single dish workshop</w:t>
            </w:r>
          </w:p>
        </w:tc>
        <w:tc>
          <w:tcPr>
            <w:tcW w:w="5900" w:type="dxa"/>
            <w:shd w:val="clear" w:color="auto" w:fill="EEF3F8"/>
            <w:hideMark/>
          </w:tcPr>
          <w:p w14:paraId="3AA10FB3" w14:textId="77777777" w:rsidR="00D210D0" w:rsidRPr="00A25D57" w:rsidRDefault="00D210D0" w:rsidP="00175889">
            <w:pPr>
              <w:spacing w:after="0" w:line="240" w:lineRule="auto"/>
              <w:jc w:val="left"/>
              <w:rPr>
                <w:sz w:val="20"/>
                <w:szCs w:val="20"/>
              </w:rPr>
            </w:pPr>
            <w:r w:rsidRPr="00A25D57">
              <w:rPr>
                <w:sz w:val="20"/>
                <w:szCs w:val="20"/>
              </w:rPr>
              <w:t>Sc.13. Student presentations</w:t>
            </w:r>
          </w:p>
        </w:tc>
      </w:tr>
      <w:tr w:rsidR="00D210D0" w:rsidRPr="00A25D57" w14:paraId="7F7186EA" w14:textId="77777777" w:rsidTr="004812EF">
        <w:trPr>
          <w:trHeight w:val="288"/>
        </w:trPr>
        <w:tc>
          <w:tcPr>
            <w:tcW w:w="6835" w:type="dxa"/>
            <w:shd w:val="clear" w:color="auto" w:fill="EEF3F8"/>
            <w:hideMark/>
          </w:tcPr>
          <w:p w14:paraId="7BA7B056" w14:textId="77777777" w:rsidR="00D210D0" w:rsidRPr="00A25D57" w:rsidRDefault="00D210D0" w:rsidP="00175889">
            <w:pPr>
              <w:spacing w:after="0" w:line="240" w:lineRule="auto"/>
              <w:jc w:val="left"/>
              <w:rPr>
                <w:sz w:val="20"/>
                <w:szCs w:val="20"/>
              </w:rPr>
            </w:pPr>
            <w:r w:rsidRPr="00A25D57">
              <w:rPr>
                <w:sz w:val="20"/>
                <w:szCs w:val="20"/>
              </w:rPr>
              <w:t>Sc.14. Observer training workshop</w:t>
            </w:r>
          </w:p>
        </w:tc>
        <w:tc>
          <w:tcPr>
            <w:tcW w:w="5900" w:type="dxa"/>
            <w:shd w:val="clear" w:color="auto" w:fill="EEF3F8"/>
            <w:hideMark/>
          </w:tcPr>
          <w:p w14:paraId="6B24D7A3" w14:textId="77777777" w:rsidR="00D210D0" w:rsidRPr="00A25D57" w:rsidRDefault="00D210D0" w:rsidP="00175889">
            <w:pPr>
              <w:spacing w:after="0" w:line="240" w:lineRule="auto"/>
              <w:jc w:val="left"/>
              <w:rPr>
                <w:sz w:val="20"/>
                <w:szCs w:val="20"/>
              </w:rPr>
            </w:pPr>
            <w:r w:rsidRPr="00A25D57">
              <w:rPr>
                <w:sz w:val="20"/>
                <w:szCs w:val="20"/>
              </w:rPr>
              <w:t>Sc.14. Remote Observer Qualifications</w:t>
            </w:r>
          </w:p>
        </w:tc>
      </w:tr>
      <w:tr w:rsidR="00D210D0" w:rsidRPr="00A25D57" w14:paraId="267C8366" w14:textId="77777777" w:rsidTr="004812EF">
        <w:trPr>
          <w:trHeight w:val="296"/>
        </w:trPr>
        <w:tc>
          <w:tcPr>
            <w:tcW w:w="6835" w:type="dxa"/>
            <w:shd w:val="clear" w:color="auto" w:fill="EEF3F8"/>
            <w:hideMark/>
          </w:tcPr>
          <w:p w14:paraId="4151C534" w14:textId="77777777" w:rsidR="00D210D0" w:rsidRPr="00A25D57" w:rsidRDefault="00D210D0" w:rsidP="00175889">
            <w:pPr>
              <w:spacing w:after="0" w:line="240" w:lineRule="auto"/>
              <w:jc w:val="left"/>
              <w:rPr>
                <w:sz w:val="20"/>
                <w:szCs w:val="20"/>
              </w:rPr>
            </w:pPr>
            <w:r w:rsidRPr="00A25D57">
              <w:rPr>
                <w:sz w:val="20"/>
                <w:szCs w:val="20"/>
              </w:rPr>
              <w:t>Sc.15. Proposer's Workshop</w:t>
            </w:r>
          </w:p>
        </w:tc>
        <w:tc>
          <w:tcPr>
            <w:tcW w:w="5900" w:type="dxa"/>
            <w:shd w:val="clear" w:color="auto" w:fill="EEF3F8"/>
            <w:hideMark/>
          </w:tcPr>
          <w:p w14:paraId="79074204" w14:textId="77777777" w:rsidR="00D210D0" w:rsidRPr="00A25D57" w:rsidRDefault="00D210D0" w:rsidP="00175889">
            <w:pPr>
              <w:spacing w:after="0" w:line="240" w:lineRule="auto"/>
              <w:jc w:val="left"/>
              <w:rPr>
                <w:sz w:val="20"/>
                <w:szCs w:val="20"/>
              </w:rPr>
            </w:pPr>
            <w:r w:rsidRPr="00A25D57">
              <w:rPr>
                <w:sz w:val="20"/>
                <w:szCs w:val="20"/>
              </w:rPr>
              <w:t>Sc.15. Proposer's Workshop Conducted</w:t>
            </w:r>
          </w:p>
        </w:tc>
      </w:tr>
      <w:tr w:rsidR="00D210D0" w:rsidRPr="00A25D57" w14:paraId="0E4C35AA" w14:textId="77777777" w:rsidTr="004812EF">
        <w:trPr>
          <w:trHeight w:val="296"/>
        </w:trPr>
        <w:tc>
          <w:tcPr>
            <w:tcW w:w="6835" w:type="dxa"/>
            <w:shd w:val="clear" w:color="auto" w:fill="EEF3F8"/>
            <w:hideMark/>
          </w:tcPr>
          <w:p w14:paraId="11C9A1EB" w14:textId="77777777" w:rsidR="00D210D0" w:rsidRPr="00A25D57" w:rsidRDefault="00D210D0" w:rsidP="00175889">
            <w:pPr>
              <w:spacing w:after="0" w:line="240" w:lineRule="auto"/>
              <w:jc w:val="left"/>
              <w:rPr>
                <w:sz w:val="20"/>
                <w:szCs w:val="20"/>
              </w:rPr>
            </w:pPr>
            <w:r w:rsidRPr="00A25D57">
              <w:rPr>
                <w:sz w:val="20"/>
                <w:szCs w:val="20"/>
              </w:rPr>
              <w:t>Sc.16. Astronomy community workshops</w:t>
            </w:r>
          </w:p>
        </w:tc>
        <w:tc>
          <w:tcPr>
            <w:tcW w:w="5900" w:type="dxa"/>
            <w:shd w:val="clear" w:color="auto" w:fill="EEF3F8"/>
            <w:hideMark/>
          </w:tcPr>
          <w:p w14:paraId="7F55813E" w14:textId="77777777" w:rsidR="00D210D0" w:rsidRPr="00A25D57" w:rsidRDefault="00D210D0" w:rsidP="00175889">
            <w:pPr>
              <w:spacing w:after="0" w:line="240" w:lineRule="auto"/>
              <w:jc w:val="left"/>
              <w:rPr>
                <w:sz w:val="20"/>
                <w:szCs w:val="20"/>
              </w:rPr>
            </w:pPr>
            <w:r w:rsidRPr="00A25D57">
              <w:rPr>
                <w:sz w:val="20"/>
                <w:szCs w:val="20"/>
              </w:rPr>
              <w:t>Sc.16. Astronomy workshops/meetings conducted</w:t>
            </w:r>
          </w:p>
        </w:tc>
      </w:tr>
      <w:tr w:rsidR="00D210D0" w:rsidRPr="00A25D57" w14:paraId="66BA01D6" w14:textId="77777777" w:rsidTr="004812EF">
        <w:trPr>
          <w:trHeight w:val="288"/>
        </w:trPr>
        <w:tc>
          <w:tcPr>
            <w:tcW w:w="6835" w:type="dxa"/>
            <w:shd w:val="clear" w:color="auto" w:fill="EEF3F8"/>
            <w:hideMark/>
          </w:tcPr>
          <w:p w14:paraId="1CB38444" w14:textId="77777777" w:rsidR="00D210D0" w:rsidRPr="00A25D57" w:rsidRDefault="00D210D0" w:rsidP="00175889">
            <w:pPr>
              <w:spacing w:after="0" w:line="240" w:lineRule="auto"/>
              <w:jc w:val="left"/>
              <w:rPr>
                <w:sz w:val="20"/>
                <w:szCs w:val="20"/>
              </w:rPr>
            </w:pPr>
            <w:r w:rsidRPr="00A25D57">
              <w:rPr>
                <w:sz w:val="20"/>
                <w:szCs w:val="20"/>
              </w:rPr>
              <w:t>Sc.17. Cyclic Spectroscopy graduate student identified</w:t>
            </w:r>
          </w:p>
        </w:tc>
        <w:tc>
          <w:tcPr>
            <w:tcW w:w="5900" w:type="dxa"/>
            <w:shd w:val="clear" w:color="auto" w:fill="EEF3F8"/>
            <w:hideMark/>
          </w:tcPr>
          <w:p w14:paraId="2DE5DF73" w14:textId="77777777" w:rsidR="00D210D0" w:rsidRPr="00A25D57" w:rsidRDefault="00D210D0" w:rsidP="00175889">
            <w:pPr>
              <w:spacing w:after="0" w:line="240" w:lineRule="auto"/>
              <w:jc w:val="left"/>
              <w:rPr>
                <w:sz w:val="20"/>
                <w:szCs w:val="20"/>
              </w:rPr>
            </w:pPr>
            <w:r w:rsidRPr="00A25D57">
              <w:rPr>
                <w:sz w:val="20"/>
                <w:szCs w:val="20"/>
              </w:rPr>
              <w:t>Sc.17. Cyclic Spectroscopy Graduate student offer letter</w:t>
            </w:r>
          </w:p>
        </w:tc>
      </w:tr>
      <w:tr w:rsidR="00D210D0" w:rsidRPr="00A25D57" w14:paraId="02A5E90D" w14:textId="77777777" w:rsidTr="004812EF">
        <w:trPr>
          <w:trHeight w:val="288"/>
        </w:trPr>
        <w:tc>
          <w:tcPr>
            <w:tcW w:w="6835" w:type="dxa"/>
            <w:shd w:val="clear" w:color="auto" w:fill="EEF3F8"/>
            <w:hideMark/>
          </w:tcPr>
          <w:p w14:paraId="08E55E64" w14:textId="77777777" w:rsidR="00D210D0" w:rsidRPr="00A25D57" w:rsidRDefault="00D210D0" w:rsidP="00175889">
            <w:pPr>
              <w:spacing w:after="0" w:line="240" w:lineRule="auto"/>
              <w:jc w:val="left"/>
              <w:rPr>
                <w:sz w:val="20"/>
                <w:szCs w:val="20"/>
              </w:rPr>
            </w:pPr>
            <w:r w:rsidRPr="00A25D57">
              <w:rPr>
                <w:sz w:val="20"/>
                <w:szCs w:val="20"/>
              </w:rPr>
              <w:t>Sc.18. Cyclic Spectroscopy Advisory group established</w:t>
            </w:r>
          </w:p>
        </w:tc>
        <w:tc>
          <w:tcPr>
            <w:tcW w:w="5900" w:type="dxa"/>
            <w:shd w:val="clear" w:color="auto" w:fill="EEF3F8"/>
            <w:hideMark/>
          </w:tcPr>
          <w:p w14:paraId="6262C82A" w14:textId="77777777" w:rsidR="00D210D0" w:rsidRPr="00A25D57" w:rsidRDefault="00D210D0" w:rsidP="00175889">
            <w:pPr>
              <w:spacing w:after="0" w:line="240" w:lineRule="auto"/>
              <w:jc w:val="left"/>
              <w:rPr>
                <w:sz w:val="20"/>
                <w:szCs w:val="20"/>
              </w:rPr>
            </w:pPr>
            <w:r w:rsidRPr="00A25D57">
              <w:rPr>
                <w:sz w:val="20"/>
                <w:szCs w:val="20"/>
              </w:rPr>
              <w:t>Sc.18. Cyclic Spectroscopy introductory meeting completed</w:t>
            </w:r>
          </w:p>
        </w:tc>
      </w:tr>
      <w:tr w:rsidR="00D210D0" w:rsidRPr="00A25D57" w14:paraId="7171B7B8" w14:textId="77777777" w:rsidTr="004812EF">
        <w:trPr>
          <w:trHeight w:val="288"/>
        </w:trPr>
        <w:tc>
          <w:tcPr>
            <w:tcW w:w="6835" w:type="dxa"/>
            <w:shd w:val="clear" w:color="auto" w:fill="EEF3F8"/>
            <w:hideMark/>
          </w:tcPr>
          <w:p w14:paraId="31EA3984" w14:textId="77777777" w:rsidR="00D210D0" w:rsidRPr="00A25D57" w:rsidRDefault="00D210D0" w:rsidP="00175889">
            <w:pPr>
              <w:spacing w:after="0" w:line="240" w:lineRule="auto"/>
              <w:jc w:val="left"/>
              <w:rPr>
                <w:sz w:val="20"/>
                <w:szCs w:val="20"/>
              </w:rPr>
            </w:pPr>
            <w:r w:rsidRPr="00A25D57">
              <w:rPr>
                <w:sz w:val="20"/>
                <w:szCs w:val="20"/>
              </w:rPr>
              <w:t>Sc.19. X Band astronomical commissioning</w:t>
            </w:r>
          </w:p>
        </w:tc>
        <w:tc>
          <w:tcPr>
            <w:tcW w:w="5900" w:type="dxa"/>
            <w:shd w:val="clear" w:color="auto" w:fill="EEF3F8"/>
            <w:hideMark/>
          </w:tcPr>
          <w:p w14:paraId="01AD53BA" w14:textId="77777777" w:rsidR="00D210D0" w:rsidRPr="00A25D57" w:rsidRDefault="00D210D0" w:rsidP="00175889">
            <w:pPr>
              <w:spacing w:after="0" w:line="240" w:lineRule="auto"/>
              <w:jc w:val="left"/>
              <w:rPr>
                <w:sz w:val="20"/>
                <w:szCs w:val="20"/>
              </w:rPr>
            </w:pPr>
            <w:r w:rsidRPr="00A25D57">
              <w:rPr>
                <w:sz w:val="20"/>
                <w:szCs w:val="20"/>
              </w:rPr>
              <w:t>Sc.19. X Band commissioning completed and documented</w:t>
            </w:r>
          </w:p>
        </w:tc>
      </w:tr>
      <w:tr w:rsidR="00D210D0" w:rsidRPr="00A25D57" w14:paraId="6BD7FFD8" w14:textId="77777777" w:rsidTr="004812EF">
        <w:trPr>
          <w:trHeight w:val="288"/>
        </w:trPr>
        <w:tc>
          <w:tcPr>
            <w:tcW w:w="6835" w:type="dxa"/>
            <w:shd w:val="clear" w:color="auto" w:fill="EEF3F8"/>
          </w:tcPr>
          <w:p w14:paraId="32A2140B" w14:textId="77777777" w:rsidR="00D210D0" w:rsidRPr="00A25D57" w:rsidRDefault="00D210D0" w:rsidP="00175889">
            <w:pPr>
              <w:spacing w:after="0" w:line="240" w:lineRule="auto"/>
              <w:jc w:val="left"/>
              <w:rPr>
                <w:sz w:val="20"/>
                <w:szCs w:val="20"/>
              </w:rPr>
            </w:pPr>
            <w:r>
              <w:rPr>
                <w:sz w:val="20"/>
                <w:szCs w:val="20"/>
              </w:rPr>
              <w:t>Sc.20. Cyclic Spectroscopy: Initial hardware procurement (FY21 carry forward)</w:t>
            </w:r>
          </w:p>
        </w:tc>
        <w:tc>
          <w:tcPr>
            <w:tcW w:w="5900" w:type="dxa"/>
            <w:shd w:val="clear" w:color="auto" w:fill="EEF3F8"/>
          </w:tcPr>
          <w:p w14:paraId="0EE7C0B1" w14:textId="77777777" w:rsidR="00D210D0" w:rsidRPr="00A25D57" w:rsidRDefault="00D210D0" w:rsidP="00175889">
            <w:pPr>
              <w:spacing w:after="0" w:line="240" w:lineRule="auto"/>
              <w:jc w:val="left"/>
              <w:rPr>
                <w:sz w:val="20"/>
                <w:szCs w:val="20"/>
              </w:rPr>
            </w:pPr>
            <w:r>
              <w:rPr>
                <w:sz w:val="20"/>
                <w:szCs w:val="20"/>
              </w:rPr>
              <w:t>Sc.20. Procure the computers and processing systems</w:t>
            </w:r>
          </w:p>
        </w:tc>
      </w:tr>
      <w:tr w:rsidR="00D210D0" w:rsidRPr="00A25D57" w14:paraId="6AB5D4C8" w14:textId="77777777" w:rsidTr="004812EF">
        <w:trPr>
          <w:trHeight w:val="288"/>
        </w:trPr>
        <w:tc>
          <w:tcPr>
            <w:tcW w:w="6835" w:type="dxa"/>
            <w:shd w:val="clear" w:color="auto" w:fill="EEF3F8"/>
            <w:hideMark/>
          </w:tcPr>
          <w:p w14:paraId="587EEE7D" w14:textId="77777777" w:rsidR="00D210D0" w:rsidRPr="00A25D57" w:rsidRDefault="00D210D0" w:rsidP="00175889">
            <w:pPr>
              <w:spacing w:after="0" w:line="240" w:lineRule="auto"/>
              <w:jc w:val="left"/>
              <w:rPr>
                <w:sz w:val="20"/>
                <w:szCs w:val="20"/>
              </w:rPr>
            </w:pPr>
            <w:r w:rsidRPr="00A25D57">
              <w:rPr>
                <w:sz w:val="20"/>
                <w:szCs w:val="20"/>
              </w:rPr>
              <w:t>Sc.2</w:t>
            </w:r>
            <w:r>
              <w:rPr>
                <w:sz w:val="20"/>
                <w:szCs w:val="20"/>
              </w:rPr>
              <w:t>1</w:t>
            </w:r>
            <w:r w:rsidRPr="00A25D57">
              <w:rPr>
                <w:sz w:val="20"/>
                <w:szCs w:val="20"/>
              </w:rPr>
              <w:t>. Ultra-wideband astronomical commissioning</w:t>
            </w:r>
          </w:p>
        </w:tc>
        <w:tc>
          <w:tcPr>
            <w:tcW w:w="5900" w:type="dxa"/>
            <w:shd w:val="clear" w:color="auto" w:fill="EEF3F8"/>
            <w:hideMark/>
          </w:tcPr>
          <w:p w14:paraId="18901657" w14:textId="77777777" w:rsidR="00D210D0" w:rsidRPr="00A25D57" w:rsidRDefault="00D210D0" w:rsidP="00175889">
            <w:pPr>
              <w:spacing w:after="0" w:line="240" w:lineRule="auto"/>
              <w:jc w:val="left"/>
              <w:rPr>
                <w:sz w:val="20"/>
                <w:szCs w:val="20"/>
              </w:rPr>
            </w:pPr>
            <w:r w:rsidRPr="00A25D57">
              <w:rPr>
                <w:sz w:val="20"/>
                <w:szCs w:val="20"/>
              </w:rPr>
              <w:t>Sc.2</w:t>
            </w:r>
            <w:r>
              <w:rPr>
                <w:sz w:val="20"/>
                <w:szCs w:val="20"/>
              </w:rPr>
              <w:t>1</w:t>
            </w:r>
            <w:r w:rsidRPr="00A25D57">
              <w:rPr>
                <w:sz w:val="20"/>
                <w:szCs w:val="20"/>
              </w:rPr>
              <w:t>. Ultra-wideband commissioning completed and documented</w:t>
            </w:r>
          </w:p>
        </w:tc>
      </w:tr>
      <w:tr w:rsidR="00D210D0" w:rsidRPr="00A25D57" w14:paraId="7F70C08E" w14:textId="77777777" w:rsidTr="004812EF">
        <w:trPr>
          <w:trHeight w:val="288"/>
        </w:trPr>
        <w:tc>
          <w:tcPr>
            <w:tcW w:w="6835" w:type="dxa"/>
            <w:shd w:val="clear" w:color="auto" w:fill="EEF3F8"/>
          </w:tcPr>
          <w:p w14:paraId="5CB0D9F1" w14:textId="77777777" w:rsidR="00D210D0" w:rsidRPr="00A25D57" w:rsidRDefault="00D210D0" w:rsidP="00175889">
            <w:pPr>
              <w:spacing w:after="0" w:line="240" w:lineRule="auto"/>
              <w:jc w:val="left"/>
              <w:rPr>
                <w:sz w:val="20"/>
                <w:szCs w:val="20"/>
              </w:rPr>
            </w:pPr>
            <w:r w:rsidRPr="00A25D57">
              <w:rPr>
                <w:sz w:val="20"/>
                <w:szCs w:val="20"/>
              </w:rPr>
              <w:t>Sc.2</w:t>
            </w:r>
            <w:r>
              <w:rPr>
                <w:sz w:val="20"/>
                <w:szCs w:val="20"/>
              </w:rPr>
              <w:t>2</w:t>
            </w:r>
            <w:r w:rsidRPr="00A25D57">
              <w:rPr>
                <w:sz w:val="20"/>
                <w:szCs w:val="20"/>
              </w:rPr>
              <w:t>. Cyclic Spectroscopy: Stakeholder and Science Requirements</w:t>
            </w:r>
          </w:p>
        </w:tc>
        <w:tc>
          <w:tcPr>
            <w:tcW w:w="5900" w:type="dxa"/>
            <w:shd w:val="clear" w:color="auto" w:fill="EEF3F8"/>
          </w:tcPr>
          <w:p w14:paraId="07A5D1DD" w14:textId="77777777" w:rsidR="00D210D0" w:rsidRPr="00A25D57" w:rsidRDefault="00D210D0" w:rsidP="00175889">
            <w:pPr>
              <w:spacing w:after="0" w:line="240" w:lineRule="auto"/>
              <w:jc w:val="left"/>
              <w:rPr>
                <w:sz w:val="20"/>
                <w:szCs w:val="20"/>
              </w:rPr>
            </w:pPr>
            <w:r w:rsidRPr="00A25D57">
              <w:rPr>
                <w:sz w:val="20"/>
                <w:szCs w:val="20"/>
              </w:rPr>
              <w:t>Sc. 2</w:t>
            </w:r>
            <w:r>
              <w:rPr>
                <w:sz w:val="20"/>
                <w:szCs w:val="20"/>
              </w:rPr>
              <w:t>2</w:t>
            </w:r>
            <w:r w:rsidRPr="00A25D57">
              <w:rPr>
                <w:sz w:val="20"/>
                <w:szCs w:val="20"/>
              </w:rPr>
              <w:t>. Requirements document for Cyclic Spectroscopy</w:t>
            </w:r>
          </w:p>
        </w:tc>
      </w:tr>
      <w:tr w:rsidR="00D210D0" w:rsidRPr="00A25D57" w14:paraId="164F9205" w14:textId="77777777" w:rsidTr="00D210D0">
        <w:trPr>
          <w:trHeight w:val="288"/>
        </w:trPr>
        <w:tc>
          <w:tcPr>
            <w:tcW w:w="6835" w:type="dxa"/>
            <w:hideMark/>
          </w:tcPr>
          <w:p w14:paraId="23980D69" w14:textId="77777777" w:rsidR="00D210D0" w:rsidRPr="00A25D57" w:rsidRDefault="00D210D0" w:rsidP="00175889">
            <w:pPr>
              <w:spacing w:after="0" w:line="240" w:lineRule="auto"/>
              <w:jc w:val="left"/>
              <w:rPr>
                <w:sz w:val="20"/>
                <w:szCs w:val="20"/>
              </w:rPr>
            </w:pPr>
            <w:r w:rsidRPr="00A25D57">
              <w:rPr>
                <w:sz w:val="20"/>
                <w:szCs w:val="20"/>
              </w:rPr>
              <w:t>So.1. AAT: Design Review of Phase 2 plan</w:t>
            </w:r>
          </w:p>
        </w:tc>
        <w:tc>
          <w:tcPr>
            <w:tcW w:w="5900" w:type="dxa"/>
            <w:hideMark/>
          </w:tcPr>
          <w:p w14:paraId="1B473882" w14:textId="77777777" w:rsidR="00D210D0" w:rsidRPr="00A25D57" w:rsidRDefault="00D210D0" w:rsidP="00175889">
            <w:pPr>
              <w:spacing w:after="0" w:line="240" w:lineRule="auto"/>
              <w:jc w:val="left"/>
              <w:rPr>
                <w:sz w:val="20"/>
                <w:szCs w:val="20"/>
              </w:rPr>
            </w:pPr>
            <w:r w:rsidRPr="00A25D57">
              <w:rPr>
                <w:sz w:val="20"/>
                <w:szCs w:val="20"/>
              </w:rPr>
              <w:t>So.1. Conceptual Design Review of plan for enhancements to AAT</w:t>
            </w:r>
          </w:p>
        </w:tc>
      </w:tr>
      <w:tr w:rsidR="00D210D0" w:rsidRPr="00A25D57" w14:paraId="4F56CBBC" w14:textId="77777777" w:rsidTr="00D210D0">
        <w:trPr>
          <w:trHeight w:val="264"/>
        </w:trPr>
        <w:tc>
          <w:tcPr>
            <w:tcW w:w="6835" w:type="dxa"/>
            <w:hideMark/>
          </w:tcPr>
          <w:p w14:paraId="05A1858A" w14:textId="77777777" w:rsidR="00D210D0" w:rsidRPr="00A25D57" w:rsidRDefault="00D210D0" w:rsidP="00175889">
            <w:pPr>
              <w:spacing w:after="0" w:line="240" w:lineRule="auto"/>
              <w:jc w:val="left"/>
              <w:rPr>
                <w:sz w:val="20"/>
                <w:szCs w:val="20"/>
              </w:rPr>
            </w:pPr>
            <w:r w:rsidRPr="00A25D57">
              <w:rPr>
                <w:sz w:val="20"/>
                <w:szCs w:val="20"/>
              </w:rPr>
              <w:t>So.2. AAT: Archive Infrastructure Development</w:t>
            </w:r>
          </w:p>
        </w:tc>
        <w:tc>
          <w:tcPr>
            <w:tcW w:w="5900" w:type="dxa"/>
            <w:hideMark/>
          </w:tcPr>
          <w:p w14:paraId="208CA9B2" w14:textId="77777777" w:rsidR="00D210D0" w:rsidRPr="00A25D57" w:rsidRDefault="00D210D0" w:rsidP="00175889">
            <w:pPr>
              <w:spacing w:after="0" w:line="240" w:lineRule="auto"/>
              <w:jc w:val="left"/>
              <w:rPr>
                <w:sz w:val="20"/>
                <w:szCs w:val="20"/>
              </w:rPr>
            </w:pPr>
            <w:r w:rsidRPr="00A25D57">
              <w:rPr>
                <w:sz w:val="20"/>
                <w:szCs w:val="20"/>
              </w:rPr>
              <w:t>So.2. Preliminary archive infrastructure implemented in Data Center</w:t>
            </w:r>
          </w:p>
        </w:tc>
      </w:tr>
      <w:tr w:rsidR="00D210D0" w:rsidRPr="00A25D57" w14:paraId="7BCAC725" w14:textId="77777777" w:rsidTr="00D210D0">
        <w:trPr>
          <w:trHeight w:val="288"/>
        </w:trPr>
        <w:tc>
          <w:tcPr>
            <w:tcW w:w="6835" w:type="dxa"/>
            <w:hideMark/>
          </w:tcPr>
          <w:p w14:paraId="4FD2BC5E" w14:textId="77777777" w:rsidR="00D210D0" w:rsidRPr="00A25D57" w:rsidRDefault="00D210D0" w:rsidP="00175889">
            <w:pPr>
              <w:spacing w:after="0" w:line="240" w:lineRule="auto"/>
              <w:jc w:val="left"/>
              <w:rPr>
                <w:sz w:val="20"/>
                <w:szCs w:val="20"/>
              </w:rPr>
            </w:pPr>
            <w:r w:rsidRPr="00A25D57">
              <w:rPr>
                <w:sz w:val="20"/>
                <w:szCs w:val="20"/>
              </w:rPr>
              <w:t>So.3. TTAT Development Support</w:t>
            </w:r>
          </w:p>
        </w:tc>
        <w:tc>
          <w:tcPr>
            <w:tcW w:w="5900" w:type="dxa"/>
            <w:hideMark/>
          </w:tcPr>
          <w:p w14:paraId="62915084" w14:textId="77777777" w:rsidR="00D210D0" w:rsidRPr="00A25D57" w:rsidRDefault="00D210D0" w:rsidP="00175889">
            <w:pPr>
              <w:spacing w:after="0" w:line="240" w:lineRule="auto"/>
              <w:jc w:val="left"/>
              <w:rPr>
                <w:sz w:val="20"/>
                <w:szCs w:val="20"/>
              </w:rPr>
            </w:pPr>
            <w:r w:rsidRPr="00A25D57">
              <w:rPr>
                <w:sz w:val="20"/>
                <w:szCs w:val="20"/>
              </w:rPr>
              <w:t xml:space="preserve">So.3. Ongoing GBO software collaboration on NRAO-led TTAT </w:t>
            </w:r>
          </w:p>
        </w:tc>
      </w:tr>
      <w:tr w:rsidR="00D210D0" w:rsidRPr="00A25D57" w14:paraId="56527639" w14:textId="77777777" w:rsidTr="00D210D0">
        <w:trPr>
          <w:trHeight w:val="288"/>
        </w:trPr>
        <w:tc>
          <w:tcPr>
            <w:tcW w:w="6835" w:type="dxa"/>
            <w:hideMark/>
          </w:tcPr>
          <w:p w14:paraId="2D46C590" w14:textId="77777777" w:rsidR="00D210D0" w:rsidRPr="00A25D57" w:rsidRDefault="00D210D0" w:rsidP="00175889">
            <w:pPr>
              <w:spacing w:after="0" w:line="240" w:lineRule="auto"/>
              <w:jc w:val="left"/>
              <w:rPr>
                <w:sz w:val="20"/>
                <w:szCs w:val="20"/>
              </w:rPr>
            </w:pPr>
            <w:r w:rsidRPr="00A25D57">
              <w:rPr>
                <w:sz w:val="20"/>
                <w:szCs w:val="20"/>
              </w:rPr>
              <w:t>So.4. General telescope monitoring system enhancements</w:t>
            </w:r>
          </w:p>
        </w:tc>
        <w:tc>
          <w:tcPr>
            <w:tcW w:w="5900" w:type="dxa"/>
            <w:hideMark/>
          </w:tcPr>
          <w:p w14:paraId="0F15E72E" w14:textId="77777777" w:rsidR="00D210D0" w:rsidRPr="00A25D57" w:rsidRDefault="00D210D0" w:rsidP="00175889">
            <w:pPr>
              <w:spacing w:after="0" w:line="240" w:lineRule="auto"/>
              <w:jc w:val="left"/>
              <w:rPr>
                <w:sz w:val="20"/>
                <w:szCs w:val="20"/>
              </w:rPr>
            </w:pPr>
            <w:r w:rsidRPr="00A25D57">
              <w:rPr>
                <w:sz w:val="20"/>
                <w:szCs w:val="20"/>
              </w:rPr>
              <w:t xml:space="preserve">So.4. Operational monitoring tool enhancements released </w:t>
            </w:r>
          </w:p>
        </w:tc>
      </w:tr>
      <w:tr w:rsidR="00D210D0" w:rsidRPr="00A25D57" w14:paraId="22451876" w14:textId="77777777" w:rsidTr="00D210D0">
        <w:trPr>
          <w:trHeight w:val="288"/>
        </w:trPr>
        <w:tc>
          <w:tcPr>
            <w:tcW w:w="6835" w:type="dxa"/>
            <w:hideMark/>
          </w:tcPr>
          <w:p w14:paraId="348E507C" w14:textId="77777777" w:rsidR="00D210D0" w:rsidRPr="00A25D57" w:rsidRDefault="00D210D0" w:rsidP="00175889">
            <w:pPr>
              <w:spacing w:after="0" w:line="240" w:lineRule="auto"/>
              <w:jc w:val="left"/>
              <w:rPr>
                <w:sz w:val="20"/>
                <w:szCs w:val="20"/>
              </w:rPr>
            </w:pPr>
            <w:r w:rsidRPr="00A25D57">
              <w:rPr>
                <w:sz w:val="20"/>
                <w:szCs w:val="20"/>
              </w:rPr>
              <w:t>So.5. Cyclic Spectroscopy Software Architecture</w:t>
            </w:r>
          </w:p>
        </w:tc>
        <w:tc>
          <w:tcPr>
            <w:tcW w:w="5900" w:type="dxa"/>
            <w:hideMark/>
          </w:tcPr>
          <w:p w14:paraId="52B26E7A" w14:textId="77777777" w:rsidR="00D210D0" w:rsidRPr="00A25D57" w:rsidRDefault="00D210D0" w:rsidP="00175889">
            <w:pPr>
              <w:spacing w:after="0" w:line="240" w:lineRule="auto"/>
              <w:jc w:val="left"/>
              <w:rPr>
                <w:sz w:val="20"/>
                <w:szCs w:val="20"/>
              </w:rPr>
            </w:pPr>
            <w:r w:rsidRPr="00A25D57">
              <w:rPr>
                <w:sz w:val="20"/>
                <w:szCs w:val="20"/>
              </w:rPr>
              <w:t xml:space="preserve">So.5. Cyclic Spectroscopy Software Architecture document </w:t>
            </w:r>
          </w:p>
        </w:tc>
      </w:tr>
      <w:tr w:rsidR="00D210D0" w:rsidRPr="00A25D57" w14:paraId="5F62FD36" w14:textId="77777777" w:rsidTr="00D210D0">
        <w:trPr>
          <w:trHeight w:val="288"/>
        </w:trPr>
        <w:tc>
          <w:tcPr>
            <w:tcW w:w="6835" w:type="dxa"/>
            <w:hideMark/>
          </w:tcPr>
          <w:p w14:paraId="4FC82E0C" w14:textId="77777777" w:rsidR="00D210D0" w:rsidRPr="00A25D57" w:rsidRDefault="00D210D0" w:rsidP="00175889">
            <w:pPr>
              <w:spacing w:after="0" w:line="240" w:lineRule="auto"/>
              <w:jc w:val="left"/>
              <w:rPr>
                <w:sz w:val="20"/>
                <w:szCs w:val="20"/>
              </w:rPr>
            </w:pPr>
            <w:r w:rsidRPr="00A25D57">
              <w:rPr>
                <w:sz w:val="20"/>
                <w:szCs w:val="20"/>
              </w:rPr>
              <w:t>So.6. Cyclic Spectroscopy Preliminary Software prototype</w:t>
            </w:r>
          </w:p>
        </w:tc>
        <w:tc>
          <w:tcPr>
            <w:tcW w:w="5900" w:type="dxa"/>
            <w:hideMark/>
          </w:tcPr>
          <w:p w14:paraId="4D9B71A1" w14:textId="77777777" w:rsidR="00D210D0" w:rsidRPr="00A25D57" w:rsidRDefault="00D210D0" w:rsidP="00175889">
            <w:pPr>
              <w:spacing w:after="0" w:line="240" w:lineRule="auto"/>
              <w:jc w:val="left"/>
              <w:rPr>
                <w:sz w:val="20"/>
                <w:szCs w:val="20"/>
              </w:rPr>
            </w:pPr>
            <w:r w:rsidRPr="00A25D57">
              <w:rPr>
                <w:sz w:val="20"/>
                <w:szCs w:val="20"/>
              </w:rPr>
              <w:t>So.6. Cyclic Spectroscopy Software prototype developed</w:t>
            </w:r>
          </w:p>
        </w:tc>
      </w:tr>
      <w:tr w:rsidR="00D210D0" w:rsidRPr="00A25D57" w14:paraId="4DD3B504" w14:textId="77777777" w:rsidTr="00D210D0">
        <w:trPr>
          <w:trHeight w:val="288"/>
        </w:trPr>
        <w:tc>
          <w:tcPr>
            <w:tcW w:w="6835" w:type="dxa"/>
            <w:hideMark/>
          </w:tcPr>
          <w:p w14:paraId="7398E4A5" w14:textId="77777777" w:rsidR="00D210D0" w:rsidRPr="00A25D57" w:rsidRDefault="00D210D0" w:rsidP="00175889">
            <w:pPr>
              <w:spacing w:after="0" w:line="240" w:lineRule="auto"/>
              <w:jc w:val="left"/>
              <w:rPr>
                <w:sz w:val="20"/>
                <w:szCs w:val="20"/>
              </w:rPr>
            </w:pPr>
            <w:r w:rsidRPr="00A25D57">
              <w:rPr>
                <w:sz w:val="20"/>
                <w:szCs w:val="20"/>
              </w:rPr>
              <w:t>So.7. X Band receiver software M&amp;C integration</w:t>
            </w:r>
          </w:p>
        </w:tc>
        <w:tc>
          <w:tcPr>
            <w:tcW w:w="5900" w:type="dxa"/>
            <w:hideMark/>
          </w:tcPr>
          <w:p w14:paraId="4B887A96" w14:textId="77777777" w:rsidR="00D210D0" w:rsidRPr="00A25D57" w:rsidRDefault="00D210D0" w:rsidP="00175889">
            <w:pPr>
              <w:spacing w:after="0" w:line="240" w:lineRule="auto"/>
              <w:jc w:val="left"/>
              <w:rPr>
                <w:sz w:val="20"/>
                <w:szCs w:val="20"/>
              </w:rPr>
            </w:pPr>
            <w:r w:rsidRPr="00A25D57">
              <w:rPr>
                <w:sz w:val="20"/>
                <w:szCs w:val="20"/>
              </w:rPr>
              <w:t>So.7. X Band software integration testing completed</w:t>
            </w:r>
          </w:p>
        </w:tc>
      </w:tr>
      <w:tr w:rsidR="00D210D0" w:rsidRPr="00A25D57" w14:paraId="4FBE4B00" w14:textId="77777777" w:rsidTr="00D210D0">
        <w:trPr>
          <w:trHeight w:val="288"/>
        </w:trPr>
        <w:tc>
          <w:tcPr>
            <w:tcW w:w="6835" w:type="dxa"/>
            <w:hideMark/>
          </w:tcPr>
          <w:p w14:paraId="4DD44334" w14:textId="77777777" w:rsidR="00D210D0" w:rsidRPr="00A25D57" w:rsidRDefault="00D210D0" w:rsidP="00175889">
            <w:pPr>
              <w:spacing w:after="0" w:line="240" w:lineRule="auto"/>
              <w:jc w:val="left"/>
              <w:rPr>
                <w:sz w:val="20"/>
                <w:szCs w:val="20"/>
              </w:rPr>
            </w:pPr>
            <w:r w:rsidRPr="00A25D57">
              <w:rPr>
                <w:sz w:val="20"/>
                <w:szCs w:val="20"/>
              </w:rPr>
              <w:t>So.8. Support UWBR commissioning</w:t>
            </w:r>
          </w:p>
        </w:tc>
        <w:tc>
          <w:tcPr>
            <w:tcW w:w="5900" w:type="dxa"/>
            <w:hideMark/>
          </w:tcPr>
          <w:p w14:paraId="6322F92E" w14:textId="77777777" w:rsidR="00D210D0" w:rsidRPr="00A25D57" w:rsidRDefault="00D210D0" w:rsidP="00175889">
            <w:pPr>
              <w:spacing w:after="0" w:line="240" w:lineRule="auto"/>
              <w:jc w:val="left"/>
              <w:rPr>
                <w:sz w:val="20"/>
                <w:szCs w:val="20"/>
              </w:rPr>
            </w:pPr>
            <w:r w:rsidRPr="00A25D57">
              <w:rPr>
                <w:sz w:val="20"/>
                <w:szCs w:val="20"/>
              </w:rPr>
              <w:t xml:space="preserve">So.8. Support Ultra-wideband commissioning </w:t>
            </w:r>
          </w:p>
        </w:tc>
      </w:tr>
      <w:tr w:rsidR="00D210D0" w:rsidRPr="00A25D57" w14:paraId="1EAF74D3" w14:textId="77777777" w:rsidTr="004812EF">
        <w:trPr>
          <w:trHeight w:val="288"/>
        </w:trPr>
        <w:tc>
          <w:tcPr>
            <w:tcW w:w="6835" w:type="dxa"/>
            <w:shd w:val="clear" w:color="auto" w:fill="EEF3F8"/>
            <w:hideMark/>
          </w:tcPr>
          <w:p w14:paraId="5250316A" w14:textId="77777777" w:rsidR="00D210D0" w:rsidRPr="00A25D57" w:rsidRDefault="00D210D0" w:rsidP="00175889">
            <w:pPr>
              <w:spacing w:after="0" w:line="240" w:lineRule="auto"/>
              <w:jc w:val="left"/>
              <w:rPr>
                <w:sz w:val="20"/>
                <w:szCs w:val="20"/>
              </w:rPr>
            </w:pPr>
            <w:r w:rsidRPr="00A25D57">
              <w:rPr>
                <w:sz w:val="20"/>
                <w:szCs w:val="20"/>
              </w:rPr>
              <w:lastRenderedPageBreak/>
              <w:t>T.1. Establish plan for increasing number of summer painters &amp; painting schedule</w:t>
            </w:r>
          </w:p>
        </w:tc>
        <w:tc>
          <w:tcPr>
            <w:tcW w:w="5900" w:type="dxa"/>
            <w:shd w:val="clear" w:color="auto" w:fill="EEF3F8"/>
            <w:hideMark/>
          </w:tcPr>
          <w:p w14:paraId="6984975B" w14:textId="77777777" w:rsidR="00D210D0" w:rsidRPr="00A25D57" w:rsidRDefault="00D210D0" w:rsidP="00175889">
            <w:pPr>
              <w:spacing w:after="0" w:line="240" w:lineRule="auto"/>
              <w:jc w:val="left"/>
              <w:rPr>
                <w:sz w:val="20"/>
                <w:szCs w:val="20"/>
              </w:rPr>
            </w:pPr>
            <w:r w:rsidRPr="00A25D57">
              <w:rPr>
                <w:sz w:val="20"/>
                <w:szCs w:val="20"/>
              </w:rPr>
              <w:t>T.1. 2022 summer hire and painting goals plan</w:t>
            </w:r>
          </w:p>
        </w:tc>
      </w:tr>
      <w:tr w:rsidR="00D210D0" w:rsidRPr="00A25D57" w14:paraId="1FE8915D" w14:textId="77777777" w:rsidTr="004812EF">
        <w:trPr>
          <w:trHeight w:val="288"/>
        </w:trPr>
        <w:tc>
          <w:tcPr>
            <w:tcW w:w="6835" w:type="dxa"/>
            <w:shd w:val="clear" w:color="auto" w:fill="EEF3F8"/>
            <w:hideMark/>
          </w:tcPr>
          <w:p w14:paraId="4C21724E" w14:textId="77777777" w:rsidR="00D210D0" w:rsidRPr="00A25D57" w:rsidRDefault="00D210D0" w:rsidP="00175889">
            <w:pPr>
              <w:spacing w:after="0" w:line="240" w:lineRule="auto"/>
              <w:jc w:val="left"/>
              <w:rPr>
                <w:sz w:val="20"/>
                <w:szCs w:val="20"/>
              </w:rPr>
            </w:pPr>
            <w:r w:rsidRPr="00A25D57">
              <w:rPr>
                <w:sz w:val="20"/>
                <w:szCs w:val="20"/>
              </w:rPr>
              <w:t>T.2. Hire summer painters, acquire paint and tools, inspect equipment</w:t>
            </w:r>
          </w:p>
        </w:tc>
        <w:tc>
          <w:tcPr>
            <w:tcW w:w="5900" w:type="dxa"/>
            <w:shd w:val="clear" w:color="auto" w:fill="EEF3F8"/>
            <w:hideMark/>
          </w:tcPr>
          <w:p w14:paraId="3A2B0842" w14:textId="77777777" w:rsidR="00D210D0" w:rsidRPr="00A25D57" w:rsidRDefault="00D210D0" w:rsidP="00175889">
            <w:pPr>
              <w:spacing w:after="0" w:line="240" w:lineRule="auto"/>
              <w:jc w:val="left"/>
              <w:rPr>
                <w:sz w:val="20"/>
                <w:szCs w:val="20"/>
              </w:rPr>
            </w:pPr>
            <w:r w:rsidRPr="00A25D57">
              <w:rPr>
                <w:sz w:val="20"/>
                <w:szCs w:val="20"/>
              </w:rPr>
              <w:t>T.2. 15-20 painters hired, inventory on hand, person lifts inspected and ready for service</w:t>
            </w:r>
          </w:p>
        </w:tc>
      </w:tr>
      <w:tr w:rsidR="00D210D0" w:rsidRPr="00A25D57" w14:paraId="2A253954" w14:textId="77777777" w:rsidTr="004812EF">
        <w:trPr>
          <w:trHeight w:val="288"/>
        </w:trPr>
        <w:tc>
          <w:tcPr>
            <w:tcW w:w="6835" w:type="dxa"/>
            <w:shd w:val="clear" w:color="auto" w:fill="EEF3F8"/>
            <w:hideMark/>
          </w:tcPr>
          <w:p w14:paraId="381D57E8" w14:textId="77777777" w:rsidR="00D210D0" w:rsidRPr="00A25D57" w:rsidRDefault="00D210D0" w:rsidP="00175889">
            <w:pPr>
              <w:spacing w:after="0" w:line="240" w:lineRule="auto"/>
              <w:jc w:val="left"/>
              <w:rPr>
                <w:sz w:val="20"/>
                <w:szCs w:val="20"/>
              </w:rPr>
            </w:pPr>
            <w:r w:rsidRPr="00A25D57">
              <w:rPr>
                <w:sz w:val="20"/>
                <w:szCs w:val="20"/>
              </w:rPr>
              <w:t>T.3. Complete summer 2022 painting goal</w:t>
            </w:r>
          </w:p>
        </w:tc>
        <w:tc>
          <w:tcPr>
            <w:tcW w:w="5900" w:type="dxa"/>
            <w:shd w:val="clear" w:color="auto" w:fill="EEF3F8"/>
            <w:hideMark/>
          </w:tcPr>
          <w:p w14:paraId="58C21ED2" w14:textId="77777777" w:rsidR="00D210D0" w:rsidRPr="00A25D57" w:rsidRDefault="00D210D0" w:rsidP="00175889">
            <w:pPr>
              <w:spacing w:after="0" w:line="240" w:lineRule="auto"/>
              <w:jc w:val="left"/>
              <w:rPr>
                <w:sz w:val="20"/>
                <w:szCs w:val="20"/>
              </w:rPr>
            </w:pPr>
            <w:r w:rsidRPr="00A25D57">
              <w:rPr>
                <w:sz w:val="20"/>
                <w:szCs w:val="20"/>
              </w:rPr>
              <w:t>T.3. Nominal 10% structure painted</w:t>
            </w:r>
          </w:p>
        </w:tc>
      </w:tr>
      <w:tr w:rsidR="00D210D0" w:rsidRPr="00A25D57" w14:paraId="40B91F90" w14:textId="77777777" w:rsidTr="004812EF">
        <w:trPr>
          <w:trHeight w:val="288"/>
        </w:trPr>
        <w:tc>
          <w:tcPr>
            <w:tcW w:w="6835" w:type="dxa"/>
            <w:shd w:val="clear" w:color="auto" w:fill="EEF3F8"/>
            <w:hideMark/>
          </w:tcPr>
          <w:p w14:paraId="71151997" w14:textId="77777777" w:rsidR="00D210D0" w:rsidRPr="00A25D57" w:rsidRDefault="00D210D0" w:rsidP="00175889">
            <w:pPr>
              <w:spacing w:after="0" w:line="240" w:lineRule="auto"/>
              <w:jc w:val="left"/>
              <w:rPr>
                <w:sz w:val="20"/>
                <w:szCs w:val="20"/>
              </w:rPr>
            </w:pPr>
            <w:r w:rsidRPr="00A25D57">
              <w:rPr>
                <w:sz w:val="20"/>
                <w:szCs w:val="20"/>
              </w:rPr>
              <w:t>T.4. Track inspection, replacement, and repair (FY</w:t>
            </w:r>
            <w:r>
              <w:rPr>
                <w:sz w:val="20"/>
                <w:szCs w:val="20"/>
              </w:rPr>
              <w:t>20</w:t>
            </w:r>
            <w:r w:rsidRPr="00A25D57">
              <w:rPr>
                <w:sz w:val="20"/>
                <w:szCs w:val="20"/>
              </w:rPr>
              <w:t>21 carry forward)</w:t>
            </w:r>
          </w:p>
        </w:tc>
        <w:tc>
          <w:tcPr>
            <w:tcW w:w="5900" w:type="dxa"/>
            <w:shd w:val="clear" w:color="auto" w:fill="EEF3F8"/>
            <w:hideMark/>
          </w:tcPr>
          <w:p w14:paraId="51839A09" w14:textId="77777777" w:rsidR="00D210D0" w:rsidRPr="00A25D57" w:rsidRDefault="00D210D0" w:rsidP="00175889">
            <w:pPr>
              <w:spacing w:after="0" w:line="240" w:lineRule="auto"/>
              <w:jc w:val="left"/>
              <w:rPr>
                <w:sz w:val="20"/>
                <w:szCs w:val="20"/>
              </w:rPr>
            </w:pPr>
            <w:r w:rsidRPr="00A25D57">
              <w:rPr>
                <w:sz w:val="20"/>
                <w:szCs w:val="20"/>
              </w:rPr>
              <w:t>T.4. Include in summary report.</w:t>
            </w:r>
          </w:p>
        </w:tc>
      </w:tr>
      <w:tr w:rsidR="00D210D0" w:rsidRPr="00A25D57" w14:paraId="30CDA625" w14:textId="77777777" w:rsidTr="004812EF">
        <w:trPr>
          <w:trHeight w:val="300"/>
        </w:trPr>
        <w:tc>
          <w:tcPr>
            <w:tcW w:w="6835" w:type="dxa"/>
            <w:shd w:val="clear" w:color="auto" w:fill="EEF3F8"/>
            <w:hideMark/>
          </w:tcPr>
          <w:p w14:paraId="18FCBE6B" w14:textId="77777777" w:rsidR="00D210D0" w:rsidRPr="00A25D57" w:rsidRDefault="00D210D0" w:rsidP="00175889">
            <w:pPr>
              <w:spacing w:after="0" w:line="240" w:lineRule="auto"/>
              <w:jc w:val="left"/>
              <w:rPr>
                <w:sz w:val="20"/>
                <w:szCs w:val="20"/>
              </w:rPr>
            </w:pPr>
            <w:r w:rsidRPr="00A25D57">
              <w:rPr>
                <w:sz w:val="20"/>
                <w:szCs w:val="20"/>
              </w:rPr>
              <w:t>T.5. Receive structural inspection report</w:t>
            </w:r>
          </w:p>
        </w:tc>
        <w:tc>
          <w:tcPr>
            <w:tcW w:w="5900" w:type="dxa"/>
            <w:shd w:val="clear" w:color="auto" w:fill="EEF3F8"/>
            <w:hideMark/>
          </w:tcPr>
          <w:p w14:paraId="3321BFF3" w14:textId="77777777" w:rsidR="00D210D0" w:rsidRPr="00A25D57" w:rsidRDefault="00D210D0" w:rsidP="00175889">
            <w:pPr>
              <w:spacing w:after="0" w:line="240" w:lineRule="auto"/>
              <w:jc w:val="left"/>
              <w:rPr>
                <w:sz w:val="20"/>
                <w:szCs w:val="20"/>
              </w:rPr>
            </w:pPr>
            <w:r w:rsidRPr="00A25D57">
              <w:rPr>
                <w:sz w:val="20"/>
                <w:szCs w:val="20"/>
              </w:rPr>
              <w:t>T.5. Inspection report</w:t>
            </w:r>
          </w:p>
        </w:tc>
      </w:tr>
      <w:tr w:rsidR="00D210D0" w:rsidRPr="00A25D57" w14:paraId="6F9ADC8C" w14:textId="77777777" w:rsidTr="004812EF">
        <w:trPr>
          <w:trHeight w:val="288"/>
        </w:trPr>
        <w:tc>
          <w:tcPr>
            <w:tcW w:w="6835" w:type="dxa"/>
            <w:shd w:val="clear" w:color="auto" w:fill="EEF3F8"/>
            <w:hideMark/>
          </w:tcPr>
          <w:p w14:paraId="5C6B9D40" w14:textId="77777777" w:rsidR="00D210D0" w:rsidRPr="00A25D57" w:rsidRDefault="00D210D0" w:rsidP="00175889">
            <w:pPr>
              <w:spacing w:after="0" w:line="240" w:lineRule="auto"/>
              <w:jc w:val="left"/>
              <w:rPr>
                <w:sz w:val="20"/>
                <w:szCs w:val="20"/>
              </w:rPr>
            </w:pPr>
            <w:r w:rsidRPr="00A25D57">
              <w:rPr>
                <w:sz w:val="20"/>
                <w:szCs w:val="20"/>
              </w:rPr>
              <w:t>T.6. Procure additional track wear plates for FY</w:t>
            </w:r>
            <w:r>
              <w:rPr>
                <w:sz w:val="20"/>
                <w:szCs w:val="20"/>
              </w:rPr>
              <w:t>20</w:t>
            </w:r>
            <w:r w:rsidRPr="00A25D57">
              <w:rPr>
                <w:sz w:val="20"/>
                <w:szCs w:val="20"/>
              </w:rPr>
              <w:t>22 installation</w:t>
            </w:r>
          </w:p>
        </w:tc>
        <w:tc>
          <w:tcPr>
            <w:tcW w:w="5900" w:type="dxa"/>
            <w:shd w:val="clear" w:color="auto" w:fill="EEF3F8"/>
            <w:hideMark/>
          </w:tcPr>
          <w:p w14:paraId="277C88DA" w14:textId="77777777" w:rsidR="00D210D0" w:rsidRPr="00A25D57" w:rsidRDefault="00D210D0" w:rsidP="00175889">
            <w:pPr>
              <w:spacing w:after="0" w:line="240" w:lineRule="auto"/>
              <w:jc w:val="left"/>
              <w:rPr>
                <w:sz w:val="20"/>
                <w:szCs w:val="20"/>
              </w:rPr>
            </w:pPr>
            <w:r w:rsidRPr="00A25D57">
              <w:rPr>
                <w:sz w:val="20"/>
                <w:szCs w:val="20"/>
              </w:rPr>
              <w:t>T.6. Track wear plates received.</w:t>
            </w:r>
          </w:p>
        </w:tc>
      </w:tr>
      <w:tr w:rsidR="00D210D0" w:rsidRPr="00A25D57" w14:paraId="023EB7EA" w14:textId="77777777" w:rsidTr="004812EF">
        <w:trPr>
          <w:trHeight w:val="288"/>
        </w:trPr>
        <w:tc>
          <w:tcPr>
            <w:tcW w:w="6835" w:type="dxa"/>
            <w:shd w:val="clear" w:color="auto" w:fill="EEF3F8"/>
            <w:hideMark/>
          </w:tcPr>
          <w:p w14:paraId="230BE065" w14:textId="77777777" w:rsidR="00D210D0" w:rsidRPr="00A25D57" w:rsidRDefault="00D210D0" w:rsidP="00175889">
            <w:pPr>
              <w:spacing w:after="0" w:line="240" w:lineRule="auto"/>
              <w:jc w:val="left"/>
              <w:rPr>
                <w:sz w:val="20"/>
                <w:szCs w:val="20"/>
              </w:rPr>
            </w:pPr>
            <w:r w:rsidRPr="00A25D57">
              <w:rPr>
                <w:sz w:val="20"/>
                <w:szCs w:val="20"/>
              </w:rPr>
              <w:t>T.7. Procure materials and consumables for FY</w:t>
            </w:r>
            <w:r>
              <w:rPr>
                <w:sz w:val="20"/>
                <w:szCs w:val="20"/>
              </w:rPr>
              <w:t>20</w:t>
            </w:r>
            <w:r w:rsidRPr="00A25D57">
              <w:rPr>
                <w:sz w:val="20"/>
                <w:szCs w:val="20"/>
              </w:rPr>
              <w:t>22 GBT maintenance</w:t>
            </w:r>
          </w:p>
        </w:tc>
        <w:tc>
          <w:tcPr>
            <w:tcW w:w="5900" w:type="dxa"/>
            <w:shd w:val="clear" w:color="auto" w:fill="EEF3F8"/>
            <w:hideMark/>
          </w:tcPr>
          <w:p w14:paraId="19AC4E26" w14:textId="77777777" w:rsidR="00D210D0" w:rsidRPr="00A25D57" w:rsidRDefault="00D210D0" w:rsidP="00175889">
            <w:pPr>
              <w:spacing w:after="0" w:line="240" w:lineRule="auto"/>
              <w:jc w:val="left"/>
              <w:rPr>
                <w:sz w:val="20"/>
                <w:szCs w:val="20"/>
              </w:rPr>
            </w:pPr>
            <w:r w:rsidRPr="00A25D57">
              <w:rPr>
                <w:sz w:val="20"/>
                <w:szCs w:val="20"/>
              </w:rPr>
              <w:t>T.7. Materials received.</w:t>
            </w:r>
          </w:p>
        </w:tc>
      </w:tr>
      <w:tr w:rsidR="00D210D0" w:rsidRPr="00A25D57" w14:paraId="0BA521E3" w14:textId="77777777" w:rsidTr="004812EF">
        <w:trPr>
          <w:trHeight w:val="288"/>
        </w:trPr>
        <w:tc>
          <w:tcPr>
            <w:tcW w:w="6835" w:type="dxa"/>
            <w:shd w:val="clear" w:color="auto" w:fill="EEF3F8"/>
            <w:hideMark/>
          </w:tcPr>
          <w:p w14:paraId="3B2230A6" w14:textId="77777777" w:rsidR="00D210D0" w:rsidRPr="00A25D57" w:rsidRDefault="00D210D0" w:rsidP="00175889">
            <w:pPr>
              <w:spacing w:after="0" w:line="240" w:lineRule="auto"/>
              <w:jc w:val="left"/>
              <w:rPr>
                <w:sz w:val="20"/>
                <w:szCs w:val="20"/>
              </w:rPr>
            </w:pPr>
            <w:r w:rsidRPr="00A25D57">
              <w:rPr>
                <w:sz w:val="20"/>
                <w:szCs w:val="20"/>
              </w:rPr>
              <w:t>T.8. Track inspection, replacement, and repair</w:t>
            </w:r>
          </w:p>
        </w:tc>
        <w:tc>
          <w:tcPr>
            <w:tcW w:w="5900" w:type="dxa"/>
            <w:shd w:val="clear" w:color="auto" w:fill="EEF3F8"/>
            <w:hideMark/>
          </w:tcPr>
          <w:p w14:paraId="29B12354" w14:textId="77777777" w:rsidR="00D210D0" w:rsidRPr="00A25D57" w:rsidRDefault="00D210D0" w:rsidP="00175889">
            <w:pPr>
              <w:spacing w:after="0" w:line="240" w:lineRule="auto"/>
              <w:jc w:val="left"/>
              <w:rPr>
                <w:sz w:val="20"/>
                <w:szCs w:val="20"/>
              </w:rPr>
            </w:pPr>
            <w:r w:rsidRPr="00A25D57">
              <w:rPr>
                <w:sz w:val="20"/>
                <w:szCs w:val="20"/>
              </w:rPr>
              <w:t>T.8.  Submit track inspection summary report.</w:t>
            </w:r>
          </w:p>
        </w:tc>
      </w:tr>
      <w:tr w:rsidR="00D210D0" w:rsidRPr="00A25D57" w14:paraId="5A643993" w14:textId="77777777" w:rsidTr="004812EF">
        <w:trPr>
          <w:trHeight w:val="288"/>
        </w:trPr>
        <w:tc>
          <w:tcPr>
            <w:tcW w:w="6835" w:type="dxa"/>
            <w:shd w:val="clear" w:color="auto" w:fill="EEF3F8"/>
            <w:hideMark/>
          </w:tcPr>
          <w:p w14:paraId="5911C92C" w14:textId="77777777" w:rsidR="00D210D0" w:rsidRPr="00A25D57" w:rsidRDefault="00D210D0" w:rsidP="00175889">
            <w:pPr>
              <w:spacing w:after="0" w:line="240" w:lineRule="auto"/>
              <w:jc w:val="left"/>
              <w:rPr>
                <w:sz w:val="20"/>
                <w:szCs w:val="20"/>
              </w:rPr>
            </w:pPr>
            <w:r w:rsidRPr="00A25D57">
              <w:rPr>
                <w:sz w:val="20"/>
                <w:szCs w:val="20"/>
              </w:rPr>
              <w:t>T.9. Inspect concrete for grout pocket replacements</w:t>
            </w:r>
          </w:p>
        </w:tc>
        <w:tc>
          <w:tcPr>
            <w:tcW w:w="5900" w:type="dxa"/>
            <w:shd w:val="clear" w:color="auto" w:fill="EEF3F8"/>
            <w:hideMark/>
          </w:tcPr>
          <w:p w14:paraId="1A5F704F" w14:textId="77777777" w:rsidR="00D210D0" w:rsidRPr="00A25D57" w:rsidRDefault="00D210D0" w:rsidP="00175889">
            <w:pPr>
              <w:spacing w:after="0" w:line="240" w:lineRule="auto"/>
              <w:jc w:val="left"/>
              <w:rPr>
                <w:sz w:val="20"/>
                <w:szCs w:val="20"/>
              </w:rPr>
            </w:pPr>
            <w:r w:rsidRPr="00A25D57">
              <w:rPr>
                <w:sz w:val="20"/>
                <w:szCs w:val="20"/>
              </w:rPr>
              <w:t>T.9. Plan and contract for group pocket repairs in place</w:t>
            </w:r>
          </w:p>
        </w:tc>
      </w:tr>
      <w:tr w:rsidR="00D210D0" w:rsidRPr="00A25D57" w14:paraId="5C4A04DB" w14:textId="77777777" w:rsidTr="004812EF">
        <w:trPr>
          <w:trHeight w:val="288"/>
        </w:trPr>
        <w:tc>
          <w:tcPr>
            <w:tcW w:w="6835" w:type="dxa"/>
            <w:shd w:val="clear" w:color="auto" w:fill="EEF3F8"/>
            <w:hideMark/>
          </w:tcPr>
          <w:p w14:paraId="5201A30E" w14:textId="77777777" w:rsidR="00D210D0" w:rsidRPr="00A25D57" w:rsidRDefault="00D210D0" w:rsidP="00175889">
            <w:pPr>
              <w:spacing w:after="0" w:line="240" w:lineRule="auto"/>
              <w:jc w:val="left"/>
              <w:rPr>
                <w:sz w:val="20"/>
                <w:szCs w:val="20"/>
              </w:rPr>
            </w:pPr>
            <w:r w:rsidRPr="00A25D57">
              <w:rPr>
                <w:sz w:val="20"/>
                <w:szCs w:val="20"/>
              </w:rPr>
              <w:t>T.10. Grout pocket repairs</w:t>
            </w:r>
          </w:p>
        </w:tc>
        <w:tc>
          <w:tcPr>
            <w:tcW w:w="5900" w:type="dxa"/>
            <w:shd w:val="clear" w:color="auto" w:fill="EEF3F8"/>
            <w:hideMark/>
          </w:tcPr>
          <w:p w14:paraId="23D92415" w14:textId="77777777" w:rsidR="00D210D0" w:rsidRPr="00A25D57" w:rsidRDefault="00D210D0" w:rsidP="00175889">
            <w:pPr>
              <w:spacing w:after="0" w:line="240" w:lineRule="auto"/>
              <w:jc w:val="left"/>
              <w:rPr>
                <w:sz w:val="20"/>
                <w:szCs w:val="20"/>
              </w:rPr>
            </w:pPr>
            <w:r w:rsidRPr="00A25D57">
              <w:rPr>
                <w:sz w:val="20"/>
                <w:szCs w:val="20"/>
              </w:rPr>
              <w:t>T.10. Grout pocket repairs completed</w:t>
            </w:r>
          </w:p>
        </w:tc>
      </w:tr>
      <w:tr w:rsidR="00D210D0" w:rsidRPr="00A25D57" w14:paraId="2B9C4568" w14:textId="77777777" w:rsidTr="004812EF">
        <w:trPr>
          <w:trHeight w:val="312"/>
        </w:trPr>
        <w:tc>
          <w:tcPr>
            <w:tcW w:w="6835" w:type="dxa"/>
            <w:shd w:val="clear" w:color="auto" w:fill="EEF3F8"/>
            <w:hideMark/>
          </w:tcPr>
          <w:p w14:paraId="1EA92D7D" w14:textId="77777777" w:rsidR="00D210D0" w:rsidRPr="00A25D57" w:rsidRDefault="00D210D0" w:rsidP="00175889">
            <w:pPr>
              <w:spacing w:after="0" w:line="240" w:lineRule="auto"/>
              <w:jc w:val="left"/>
              <w:rPr>
                <w:sz w:val="20"/>
                <w:szCs w:val="20"/>
              </w:rPr>
            </w:pPr>
            <w:r w:rsidRPr="00A25D57">
              <w:rPr>
                <w:sz w:val="20"/>
                <w:szCs w:val="20"/>
              </w:rPr>
              <w:t>T.11. Plan for U-Connection repair/replacement</w:t>
            </w:r>
          </w:p>
        </w:tc>
        <w:tc>
          <w:tcPr>
            <w:tcW w:w="5900" w:type="dxa"/>
            <w:shd w:val="clear" w:color="auto" w:fill="EEF3F8"/>
            <w:hideMark/>
          </w:tcPr>
          <w:p w14:paraId="5B42C569" w14:textId="77777777" w:rsidR="00D210D0" w:rsidRPr="00A25D57" w:rsidRDefault="00D210D0" w:rsidP="00175889">
            <w:pPr>
              <w:spacing w:after="0" w:line="240" w:lineRule="auto"/>
              <w:jc w:val="left"/>
              <w:rPr>
                <w:sz w:val="20"/>
                <w:szCs w:val="20"/>
              </w:rPr>
            </w:pPr>
            <w:r w:rsidRPr="00A25D57">
              <w:rPr>
                <w:sz w:val="20"/>
                <w:szCs w:val="20"/>
              </w:rPr>
              <w:t>T.11. Proposal submitted for U-Connection repair</w:t>
            </w:r>
          </w:p>
        </w:tc>
      </w:tr>
      <w:tr w:rsidR="00D210D0" w:rsidRPr="00A25D57" w14:paraId="5B6A10D8" w14:textId="77777777" w:rsidTr="004812EF">
        <w:trPr>
          <w:trHeight w:val="312"/>
        </w:trPr>
        <w:tc>
          <w:tcPr>
            <w:tcW w:w="6835" w:type="dxa"/>
            <w:shd w:val="clear" w:color="auto" w:fill="EEF3F8"/>
            <w:hideMark/>
          </w:tcPr>
          <w:p w14:paraId="251F6EB7" w14:textId="77777777" w:rsidR="00D210D0" w:rsidRPr="00A25D57" w:rsidRDefault="00D210D0" w:rsidP="00175889">
            <w:pPr>
              <w:spacing w:after="0" w:line="240" w:lineRule="auto"/>
              <w:jc w:val="left"/>
              <w:rPr>
                <w:sz w:val="20"/>
                <w:szCs w:val="20"/>
              </w:rPr>
            </w:pPr>
            <w:r w:rsidRPr="00A25D57">
              <w:rPr>
                <w:sz w:val="20"/>
                <w:szCs w:val="20"/>
              </w:rPr>
              <w:t>T.12. Contract for coolant pipe replacement</w:t>
            </w:r>
          </w:p>
        </w:tc>
        <w:tc>
          <w:tcPr>
            <w:tcW w:w="5900" w:type="dxa"/>
            <w:shd w:val="clear" w:color="auto" w:fill="EEF3F8"/>
            <w:hideMark/>
          </w:tcPr>
          <w:p w14:paraId="41E72458" w14:textId="77777777" w:rsidR="00D210D0" w:rsidRPr="00A25D57" w:rsidRDefault="00D210D0" w:rsidP="00175889">
            <w:pPr>
              <w:spacing w:after="0" w:line="240" w:lineRule="auto"/>
              <w:jc w:val="left"/>
              <w:rPr>
                <w:sz w:val="20"/>
                <w:szCs w:val="20"/>
              </w:rPr>
            </w:pPr>
            <w:r w:rsidRPr="00A25D57">
              <w:rPr>
                <w:sz w:val="20"/>
                <w:szCs w:val="20"/>
              </w:rPr>
              <w:t>T.12. Coolant pipe replacement contracted</w:t>
            </w:r>
          </w:p>
        </w:tc>
      </w:tr>
      <w:tr w:rsidR="00D210D0" w:rsidRPr="00A25D57" w14:paraId="11945591" w14:textId="77777777" w:rsidTr="004812EF">
        <w:trPr>
          <w:trHeight w:val="312"/>
        </w:trPr>
        <w:tc>
          <w:tcPr>
            <w:tcW w:w="6835" w:type="dxa"/>
            <w:shd w:val="clear" w:color="auto" w:fill="EEF3F8"/>
            <w:hideMark/>
          </w:tcPr>
          <w:p w14:paraId="0F15163F" w14:textId="77777777" w:rsidR="00D210D0" w:rsidRPr="00A25D57" w:rsidRDefault="00D210D0" w:rsidP="00175889">
            <w:pPr>
              <w:spacing w:after="0" w:line="240" w:lineRule="auto"/>
              <w:jc w:val="left"/>
              <w:rPr>
                <w:sz w:val="20"/>
                <w:szCs w:val="20"/>
              </w:rPr>
            </w:pPr>
            <w:r w:rsidRPr="00A25D57">
              <w:rPr>
                <w:sz w:val="20"/>
                <w:szCs w:val="20"/>
              </w:rPr>
              <w:t>T.13. Coolant pipe replacement (lower half)</w:t>
            </w:r>
          </w:p>
        </w:tc>
        <w:tc>
          <w:tcPr>
            <w:tcW w:w="5900" w:type="dxa"/>
            <w:shd w:val="clear" w:color="auto" w:fill="EEF3F8"/>
            <w:hideMark/>
          </w:tcPr>
          <w:p w14:paraId="37033851" w14:textId="77777777" w:rsidR="00D210D0" w:rsidRPr="00A25D57" w:rsidRDefault="00D210D0" w:rsidP="00175889">
            <w:pPr>
              <w:spacing w:after="0" w:line="240" w:lineRule="auto"/>
              <w:jc w:val="left"/>
              <w:rPr>
                <w:sz w:val="20"/>
                <w:szCs w:val="20"/>
              </w:rPr>
            </w:pPr>
            <w:r w:rsidRPr="00A25D57">
              <w:rPr>
                <w:sz w:val="20"/>
                <w:szCs w:val="20"/>
              </w:rPr>
              <w:t>T.13. Coolant pipe replacement completed</w:t>
            </w:r>
          </w:p>
        </w:tc>
      </w:tr>
      <w:tr w:rsidR="00D210D0" w:rsidRPr="00A25D57" w14:paraId="14ED46BF" w14:textId="77777777" w:rsidTr="004812EF">
        <w:trPr>
          <w:trHeight w:val="312"/>
        </w:trPr>
        <w:tc>
          <w:tcPr>
            <w:tcW w:w="6835" w:type="dxa"/>
            <w:shd w:val="clear" w:color="auto" w:fill="EEF3F8"/>
            <w:hideMark/>
          </w:tcPr>
          <w:p w14:paraId="02A362DD" w14:textId="77777777" w:rsidR="00D210D0" w:rsidRPr="00A25D57" w:rsidRDefault="00D210D0" w:rsidP="00175889">
            <w:pPr>
              <w:spacing w:after="0" w:line="240" w:lineRule="auto"/>
              <w:jc w:val="left"/>
              <w:rPr>
                <w:sz w:val="20"/>
                <w:szCs w:val="20"/>
              </w:rPr>
            </w:pPr>
            <w:r w:rsidRPr="00A25D57">
              <w:rPr>
                <w:sz w:val="20"/>
                <w:szCs w:val="20"/>
              </w:rPr>
              <w:t>T.14. Prime Focus maintenance, screws, Sterling mount, cables</w:t>
            </w:r>
          </w:p>
        </w:tc>
        <w:tc>
          <w:tcPr>
            <w:tcW w:w="5900" w:type="dxa"/>
            <w:shd w:val="clear" w:color="auto" w:fill="EEF3F8"/>
            <w:hideMark/>
          </w:tcPr>
          <w:p w14:paraId="51145AD4" w14:textId="77777777" w:rsidR="00D210D0" w:rsidRPr="00A25D57" w:rsidRDefault="00D210D0" w:rsidP="00175889">
            <w:pPr>
              <w:spacing w:after="0" w:line="240" w:lineRule="auto"/>
              <w:jc w:val="left"/>
              <w:rPr>
                <w:sz w:val="20"/>
                <w:szCs w:val="20"/>
              </w:rPr>
            </w:pPr>
            <w:r w:rsidRPr="00A25D57">
              <w:rPr>
                <w:sz w:val="20"/>
                <w:szCs w:val="20"/>
              </w:rPr>
              <w:t>T.14. Prime Focus maintenance, screws, Sterling mount, cables</w:t>
            </w:r>
          </w:p>
        </w:tc>
      </w:tr>
      <w:tr w:rsidR="00D210D0" w:rsidRPr="00A25D57" w14:paraId="0FAE9904" w14:textId="77777777" w:rsidTr="004812EF">
        <w:trPr>
          <w:trHeight w:val="312"/>
        </w:trPr>
        <w:tc>
          <w:tcPr>
            <w:tcW w:w="6835" w:type="dxa"/>
            <w:shd w:val="clear" w:color="auto" w:fill="EEF3F8"/>
            <w:hideMark/>
          </w:tcPr>
          <w:p w14:paraId="6DBFBBB1" w14:textId="77777777" w:rsidR="00D210D0" w:rsidRPr="00A25D57" w:rsidRDefault="00D210D0" w:rsidP="00175889">
            <w:pPr>
              <w:spacing w:after="0" w:line="240" w:lineRule="auto"/>
              <w:jc w:val="left"/>
              <w:rPr>
                <w:sz w:val="20"/>
                <w:szCs w:val="20"/>
              </w:rPr>
            </w:pPr>
            <w:r w:rsidRPr="00A25D57">
              <w:rPr>
                <w:sz w:val="20"/>
                <w:szCs w:val="20"/>
              </w:rPr>
              <w:t>T.15. Develop a plan for GBT primary and secondary surface molds</w:t>
            </w:r>
          </w:p>
        </w:tc>
        <w:tc>
          <w:tcPr>
            <w:tcW w:w="5900" w:type="dxa"/>
            <w:shd w:val="clear" w:color="auto" w:fill="EEF3F8"/>
            <w:hideMark/>
          </w:tcPr>
          <w:p w14:paraId="6F9058E1" w14:textId="77777777" w:rsidR="00D210D0" w:rsidRPr="00A25D57" w:rsidRDefault="00D210D0" w:rsidP="00175889">
            <w:pPr>
              <w:spacing w:after="0" w:line="240" w:lineRule="auto"/>
              <w:jc w:val="left"/>
              <w:rPr>
                <w:sz w:val="20"/>
                <w:szCs w:val="20"/>
              </w:rPr>
            </w:pPr>
            <w:r w:rsidRPr="00A25D57">
              <w:rPr>
                <w:sz w:val="20"/>
                <w:szCs w:val="20"/>
              </w:rPr>
              <w:t>T.15. Plan developed for GBT surface molds</w:t>
            </w:r>
          </w:p>
        </w:tc>
      </w:tr>
      <w:tr w:rsidR="00D210D0" w:rsidRPr="00A25D57" w14:paraId="6ABC7F26" w14:textId="77777777" w:rsidTr="004812EF">
        <w:trPr>
          <w:trHeight w:val="312"/>
        </w:trPr>
        <w:tc>
          <w:tcPr>
            <w:tcW w:w="6835" w:type="dxa"/>
            <w:shd w:val="clear" w:color="auto" w:fill="EEF3F8"/>
            <w:hideMark/>
          </w:tcPr>
          <w:p w14:paraId="3830E9DF" w14:textId="77777777" w:rsidR="00D210D0" w:rsidRPr="00A25D57" w:rsidRDefault="00D210D0" w:rsidP="00175889">
            <w:pPr>
              <w:spacing w:after="0" w:line="240" w:lineRule="auto"/>
              <w:jc w:val="left"/>
              <w:rPr>
                <w:sz w:val="20"/>
                <w:szCs w:val="20"/>
              </w:rPr>
            </w:pPr>
            <w:r w:rsidRPr="00A25D57">
              <w:rPr>
                <w:sz w:val="20"/>
                <w:szCs w:val="20"/>
              </w:rPr>
              <w:t>T.16. GBT surface molds are cleaned and inventoried</w:t>
            </w:r>
          </w:p>
        </w:tc>
        <w:tc>
          <w:tcPr>
            <w:tcW w:w="5900" w:type="dxa"/>
            <w:shd w:val="clear" w:color="auto" w:fill="EEF3F8"/>
            <w:hideMark/>
          </w:tcPr>
          <w:p w14:paraId="4788EB6D" w14:textId="77777777" w:rsidR="00D210D0" w:rsidRPr="00A25D57" w:rsidRDefault="00D210D0" w:rsidP="00175889">
            <w:pPr>
              <w:spacing w:after="0" w:line="240" w:lineRule="auto"/>
              <w:jc w:val="left"/>
              <w:rPr>
                <w:sz w:val="20"/>
                <w:szCs w:val="20"/>
              </w:rPr>
            </w:pPr>
            <w:r w:rsidRPr="00A25D57">
              <w:rPr>
                <w:sz w:val="20"/>
                <w:szCs w:val="20"/>
              </w:rPr>
              <w:t>T.16. Inventory and storage of GBT surface molds completed</w:t>
            </w:r>
          </w:p>
        </w:tc>
      </w:tr>
      <w:tr w:rsidR="00D210D0" w:rsidRPr="00A25D57" w14:paraId="19920818" w14:textId="77777777" w:rsidTr="00175889">
        <w:trPr>
          <w:trHeight w:val="312"/>
        </w:trPr>
        <w:tc>
          <w:tcPr>
            <w:tcW w:w="12735" w:type="dxa"/>
            <w:gridSpan w:val="2"/>
          </w:tcPr>
          <w:p w14:paraId="55EDFB68" w14:textId="77777777" w:rsidR="00D210D0" w:rsidRDefault="00D210D0" w:rsidP="00D210D0">
            <w:pPr>
              <w:spacing w:after="0" w:line="240" w:lineRule="auto"/>
              <w:jc w:val="left"/>
            </w:pPr>
            <w:r w:rsidRPr="00C54BE9">
              <w:t>Divisions:  A=Admin; B=Business; E=Electronics; EPO=Education &amp; Public Outreach; HR=Human Resources; P=Plant Maintenance; PM=Program Management; PR=Public Relations; Sc=Science; So=Software; T=Telescope Operations</w:t>
            </w:r>
          </w:p>
          <w:p w14:paraId="716061BA" w14:textId="77777777" w:rsidR="00D210D0" w:rsidRPr="00A25D57" w:rsidRDefault="00D210D0" w:rsidP="00175889">
            <w:pPr>
              <w:spacing w:after="0" w:line="240" w:lineRule="auto"/>
              <w:jc w:val="left"/>
              <w:rPr>
                <w:sz w:val="20"/>
                <w:szCs w:val="20"/>
              </w:rPr>
            </w:pPr>
          </w:p>
        </w:tc>
      </w:tr>
    </w:tbl>
    <w:p w14:paraId="3EEF4FEA" w14:textId="77777777" w:rsidR="00D210D0" w:rsidRDefault="00D210D0" w:rsidP="0095748B">
      <w:pPr>
        <w:spacing w:after="0" w:line="240" w:lineRule="auto"/>
        <w:jc w:val="left"/>
      </w:pPr>
    </w:p>
    <w:p w14:paraId="25CC8F70" w14:textId="77777777" w:rsidR="00D210D0" w:rsidRDefault="00D210D0" w:rsidP="0095748B">
      <w:pPr>
        <w:spacing w:after="0" w:line="240" w:lineRule="auto"/>
        <w:jc w:val="left"/>
      </w:pPr>
    </w:p>
    <w:p w14:paraId="06FC4687" w14:textId="22C97650" w:rsidR="00D210D0" w:rsidRDefault="00D210D0" w:rsidP="0095748B">
      <w:pPr>
        <w:spacing w:after="0" w:line="240" w:lineRule="auto"/>
        <w:jc w:val="left"/>
        <w:sectPr w:rsidR="00D210D0" w:rsidSect="00261DB9">
          <w:headerReference w:type="first" r:id="rId23"/>
          <w:pgSz w:w="15840" w:h="12240" w:orient="landscape"/>
          <w:pgMar w:top="1440" w:right="1267" w:bottom="1440" w:left="1526" w:header="720" w:footer="720" w:gutter="0"/>
          <w:cols w:space="720"/>
          <w:formProt w:val="0"/>
          <w:docGrid w:linePitch="360" w:charSpace="-2049"/>
        </w:sectPr>
      </w:pPr>
    </w:p>
    <w:p w14:paraId="1BE3BAF3" w14:textId="7B1369C6" w:rsidR="00701C0E" w:rsidRDefault="00701C0E" w:rsidP="00BE3952">
      <w:pPr>
        <w:pStyle w:val="Heading1"/>
      </w:pPr>
      <w:bookmarkStart w:id="942" w:name="_Toc83886173"/>
      <w:r w:rsidRPr="00A321FB">
        <w:lastRenderedPageBreak/>
        <w:t>APPENDIX D: REFERENCES</w:t>
      </w:r>
      <w:bookmarkEnd w:id="942"/>
      <w:r w:rsidR="001F01B2" w:rsidRPr="00A321FB">
        <w:t xml:space="preserve"> </w:t>
      </w:r>
      <w:bookmarkStart w:id="943" w:name="_Toc1052240"/>
      <w:bookmarkStart w:id="944" w:name="_Toc1052241"/>
      <w:bookmarkStart w:id="945" w:name="_Toc1140263"/>
      <w:bookmarkStart w:id="946" w:name="_Toc1052242"/>
      <w:bookmarkStart w:id="947" w:name="_Toc535936470"/>
      <w:bookmarkStart w:id="948" w:name="_Toc337210"/>
      <w:bookmarkEnd w:id="937"/>
      <w:bookmarkEnd w:id="943"/>
      <w:bookmarkEnd w:id="944"/>
      <w:bookmarkEnd w:id="945"/>
      <w:bookmarkEnd w:id="946"/>
    </w:p>
    <w:p w14:paraId="0605C446" w14:textId="18E3A378" w:rsidR="00702DC2" w:rsidRDefault="00702DC2" w:rsidP="00702DC2">
      <w:pPr>
        <w:spacing w:line="240" w:lineRule="auto"/>
      </w:pPr>
      <w:r>
        <w:t>-</w:t>
      </w:r>
      <w:proofErr w:type="spellStart"/>
      <w:r>
        <w:t>Arzoumanian</w:t>
      </w:r>
      <w:proofErr w:type="spellEnd"/>
      <w:r>
        <w:t xml:space="preserve">, Z. A., et al. (2018), </w:t>
      </w:r>
      <w:proofErr w:type="spellStart"/>
      <w:r>
        <w:t>ApJS</w:t>
      </w:r>
      <w:proofErr w:type="spellEnd"/>
      <w:r>
        <w:t>, 235, 37.</w:t>
      </w:r>
    </w:p>
    <w:p w14:paraId="26476FB2" w14:textId="7002E8FD" w:rsidR="00702DC2" w:rsidRDefault="00702DC2" w:rsidP="00702DC2">
      <w:pPr>
        <w:spacing w:line="240" w:lineRule="auto"/>
      </w:pPr>
      <w:r>
        <w:t>-Lynch, R., et al. (2019), BAAS 51, 151.</w:t>
      </w:r>
    </w:p>
    <w:p w14:paraId="1D94D755" w14:textId="3AB12D2B" w:rsidR="00702DC2" w:rsidRDefault="00702DC2" w:rsidP="00702DC2">
      <w:pPr>
        <w:spacing w:line="240" w:lineRule="auto"/>
      </w:pPr>
      <w:r>
        <w:t>-Bally, J., et al. (2016) arXiv:1610.09014.</w:t>
      </w:r>
    </w:p>
    <w:p w14:paraId="72159F48" w14:textId="3A1E9CD1" w:rsidR="00702DC2" w:rsidRDefault="00702DC2" w:rsidP="00702DC2">
      <w:pPr>
        <w:spacing w:line="240" w:lineRule="auto"/>
      </w:pPr>
      <w:r>
        <w:t xml:space="preserve">-Barrera-Ballesteros, J.K., et al. (2018) </w:t>
      </w:r>
      <w:proofErr w:type="spellStart"/>
      <w:r>
        <w:t>ApJ</w:t>
      </w:r>
      <w:proofErr w:type="spellEnd"/>
      <w:r>
        <w:t xml:space="preserve"> 852, 74.</w:t>
      </w:r>
    </w:p>
    <w:p w14:paraId="428C9154" w14:textId="4372E1BB" w:rsidR="00702DC2" w:rsidRDefault="00702DC2" w:rsidP="00702DC2">
      <w:pPr>
        <w:spacing w:line="240" w:lineRule="auto"/>
      </w:pPr>
      <w:r>
        <w:t xml:space="preserve">-Coughlin, J.L. et al. (2016) </w:t>
      </w:r>
      <w:proofErr w:type="spellStart"/>
      <w:r>
        <w:t>ApJS</w:t>
      </w:r>
      <w:proofErr w:type="spellEnd"/>
      <w:r>
        <w:t>, 224, 12.</w:t>
      </w:r>
    </w:p>
    <w:p w14:paraId="25B02D3E" w14:textId="294A9AAD" w:rsidR="00702DC2" w:rsidRDefault="00702DC2" w:rsidP="00702DC2">
      <w:pPr>
        <w:spacing w:line="240" w:lineRule="auto"/>
      </w:pPr>
      <w:r>
        <w:t xml:space="preserve">-Drake, F.D. (1961) </w:t>
      </w:r>
      <w:proofErr w:type="spellStart"/>
      <w:r>
        <w:t>PhysT</w:t>
      </w:r>
      <w:proofErr w:type="spellEnd"/>
      <w:r>
        <w:t xml:space="preserve"> 14, 40.</w:t>
      </w:r>
    </w:p>
    <w:p w14:paraId="72C46250" w14:textId="2E1CAD39" w:rsidR="00702DC2" w:rsidRDefault="00702DC2" w:rsidP="00702DC2">
      <w:pPr>
        <w:spacing w:line="240" w:lineRule="auto"/>
      </w:pPr>
      <w:r>
        <w:t xml:space="preserve">-Dressing, C. D. and Charbonneau, D. (2015) </w:t>
      </w:r>
      <w:proofErr w:type="spellStart"/>
      <w:r>
        <w:t>ApJ</w:t>
      </w:r>
      <w:proofErr w:type="spellEnd"/>
      <w:r>
        <w:t xml:space="preserve"> 807, 45.</w:t>
      </w:r>
    </w:p>
    <w:p w14:paraId="72FC7924" w14:textId="1D2E3D66" w:rsidR="00702DC2" w:rsidRDefault="00702DC2" w:rsidP="00702DC2">
      <w:pPr>
        <w:spacing w:line="240" w:lineRule="auto"/>
      </w:pPr>
      <w:r>
        <w:t xml:space="preserve">-Enriquez. J. E., et al. (2019) </w:t>
      </w:r>
      <w:proofErr w:type="spellStart"/>
      <w:r>
        <w:t>JAsB</w:t>
      </w:r>
      <w:proofErr w:type="spellEnd"/>
      <w:r>
        <w:t>, 18, 33.</w:t>
      </w:r>
    </w:p>
    <w:p w14:paraId="5AC05170" w14:textId="11F635CB" w:rsidR="00702DC2" w:rsidRDefault="00702DC2" w:rsidP="00702DC2">
      <w:pPr>
        <w:spacing w:line="240" w:lineRule="auto"/>
      </w:pPr>
      <w:r>
        <w:t xml:space="preserve">-Gao, Z-F., et al. (2017) </w:t>
      </w:r>
      <w:proofErr w:type="spellStart"/>
      <w:r>
        <w:t>ApJ</w:t>
      </w:r>
      <w:proofErr w:type="spellEnd"/>
      <w:r>
        <w:t xml:space="preserve"> 849, 19.</w:t>
      </w:r>
    </w:p>
    <w:p w14:paraId="1F011D2A" w14:textId="2D7A6804" w:rsidR="00702DC2" w:rsidRDefault="00702DC2" w:rsidP="00702DC2">
      <w:pPr>
        <w:spacing w:line="240" w:lineRule="auto"/>
      </w:pPr>
      <w:r>
        <w:t>-</w:t>
      </w:r>
      <w:proofErr w:type="spellStart"/>
      <w:r>
        <w:t>Gelino</w:t>
      </w:r>
      <w:proofErr w:type="spellEnd"/>
      <w:r>
        <w:t xml:space="preserve"> and Wright, eds. (2018) NASA and the Search for </w:t>
      </w:r>
      <w:proofErr w:type="spellStart"/>
      <w:r>
        <w:t>Technosignatures</w:t>
      </w:r>
      <w:proofErr w:type="spellEnd"/>
      <w:r>
        <w:t xml:space="preserve">: A Report from the NASA </w:t>
      </w:r>
      <w:proofErr w:type="spellStart"/>
      <w:r>
        <w:t>Technosignatures</w:t>
      </w:r>
      <w:proofErr w:type="spellEnd"/>
      <w:r>
        <w:t xml:space="preserve"> Workshop arXiv:1812.08681</w:t>
      </w:r>
    </w:p>
    <w:p w14:paraId="08C8A82E" w14:textId="4BF52EEE" w:rsidR="00702DC2" w:rsidRDefault="00702DC2" w:rsidP="00702DC2">
      <w:pPr>
        <w:spacing w:line="240" w:lineRule="auto"/>
      </w:pPr>
      <w:r>
        <w:t>-Lebofsky, M., et al. (2019) PASP 131, 124505.</w:t>
      </w:r>
    </w:p>
    <w:p w14:paraId="14E8B0F9" w14:textId="18163342" w:rsidR="00702DC2" w:rsidRDefault="00702DC2" w:rsidP="00702DC2">
      <w:pPr>
        <w:spacing w:line="240" w:lineRule="auto"/>
      </w:pPr>
      <w:r>
        <w:t>-Margot, J-L., et al (2018) AJ 155, 209.</w:t>
      </w:r>
    </w:p>
    <w:p w14:paraId="3DDA0624" w14:textId="26B939CE" w:rsidR="00702DC2" w:rsidRDefault="00702DC2" w:rsidP="00702DC2">
      <w:pPr>
        <w:spacing w:line="240" w:lineRule="auto"/>
      </w:pPr>
      <w:r>
        <w:t>-McLaughlin, M. (2018) APS April Meeting, abstract id.Y04.002.</w:t>
      </w:r>
    </w:p>
    <w:p w14:paraId="702A6A11" w14:textId="2AEB4A9C" w:rsidR="00702DC2" w:rsidRDefault="00702DC2" w:rsidP="00702DC2">
      <w:pPr>
        <w:spacing w:line="240" w:lineRule="auto"/>
      </w:pPr>
      <w:r>
        <w:t>-Park, R., et al. (2018) AJ 155, 185.</w:t>
      </w:r>
    </w:p>
    <w:p w14:paraId="263409F6" w14:textId="77777777" w:rsidR="00702DC2" w:rsidRDefault="00702DC2" w:rsidP="00702DC2">
      <w:pPr>
        <w:spacing w:line="240" w:lineRule="auto"/>
      </w:pPr>
      <w:r>
        <w:t xml:space="preserve">-Price, S., et al. (2020) </w:t>
      </w:r>
      <w:proofErr w:type="spellStart"/>
      <w:r>
        <w:t>ApJ</w:t>
      </w:r>
      <w:proofErr w:type="spellEnd"/>
      <w:r>
        <w:t xml:space="preserve"> 894, 91.</w:t>
      </w:r>
    </w:p>
    <w:p w14:paraId="356ED88B" w14:textId="77777777" w:rsidR="00702DC2" w:rsidRDefault="00702DC2" w:rsidP="00702DC2">
      <w:pPr>
        <w:spacing w:line="240" w:lineRule="auto"/>
      </w:pPr>
      <w:r>
        <w:t>-Putman, M.B., et al. (2012) ARAA, 50, 491.</w:t>
      </w:r>
    </w:p>
    <w:p w14:paraId="78760C7B" w14:textId="77777777" w:rsidR="00702DC2" w:rsidRDefault="00702DC2" w:rsidP="00702DC2">
      <w:pPr>
        <w:spacing w:line="240" w:lineRule="auto"/>
      </w:pPr>
      <w:r>
        <w:t xml:space="preserve">-Sakai, N., et al. (2009) </w:t>
      </w:r>
      <w:proofErr w:type="spellStart"/>
      <w:r>
        <w:t>ApJ</w:t>
      </w:r>
      <w:proofErr w:type="spellEnd"/>
      <w:r>
        <w:t xml:space="preserve">, 697, 769 </w:t>
      </w:r>
    </w:p>
    <w:p w14:paraId="63C9CF88" w14:textId="77777777" w:rsidR="00702DC2" w:rsidRDefault="00702DC2" w:rsidP="00702DC2">
      <w:pPr>
        <w:spacing w:line="240" w:lineRule="auto"/>
      </w:pPr>
      <w:r>
        <w:t>-Sheikh, S.Z., et al. (2020) AJ, 160, 29</w:t>
      </w:r>
    </w:p>
    <w:p w14:paraId="502B7031" w14:textId="77777777" w:rsidR="00702DC2" w:rsidRDefault="00702DC2" w:rsidP="00702DC2">
      <w:pPr>
        <w:spacing w:line="240" w:lineRule="auto"/>
      </w:pPr>
      <w:r>
        <w:t xml:space="preserve">-Suzuki, H., et al. (1992) </w:t>
      </w:r>
      <w:proofErr w:type="spellStart"/>
      <w:r>
        <w:t>ApJ</w:t>
      </w:r>
      <w:proofErr w:type="spellEnd"/>
      <w:r>
        <w:t>, 392, 551</w:t>
      </w:r>
    </w:p>
    <w:p w14:paraId="2D7BF533" w14:textId="77777777" w:rsidR="00702DC2" w:rsidRDefault="00702DC2" w:rsidP="00702DC2">
      <w:pPr>
        <w:spacing w:line="240" w:lineRule="auto"/>
      </w:pPr>
      <w:r>
        <w:t xml:space="preserve">-Taylor, S.R., et al. (2016) </w:t>
      </w:r>
      <w:proofErr w:type="spellStart"/>
      <w:r>
        <w:t>ApJ</w:t>
      </w:r>
      <w:proofErr w:type="spellEnd"/>
      <w:r>
        <w:t>, 819, 6.</w:t>
      </w:r>
    </w:p>
    <w:p w14:paraId="3611E67E" w14:textId="077A6080" w:rsidR="00701C0E" w:rsidRPr="00A321FB" w:rsidRDefault="00702DC2" w:rsidP="00702DC2">
      <w:pPr>
        <w:spacing w:line="240" w:lineRule="auto"/>
      </w:pPr>
      <w:r>
        <w:t>-</w:t>
      </w:r>
      <w:proofErr w:type="spellStart"/>
      <w:r>
        <w:t>Werk</w:t>
      </w:r>
      <w:proofErr w:type="spellEnd"/>
      <w:r>
        <w:t xml:space="preserve">, J., et al. (2014) </w:t>
      </w:r>
      <w:proofErr w:type="spellStart"/>
      <w:r>
        <w:t>ApJ</w:t>
      </w:r>
      <w:proofErr w:type="spellEnd"/>
      <w:r>
        <w:t>, 792, 8.</w:t>
      </w:r>
      <w:r w:rsidR="00701C0E" w:rsidRPr="00A321FB">
        <w:br w:type="page"/>
      </w:r>
    </w:p>
    <w:p w14:paraId="68EA3595" w14:textId="74AE98F6" w:rsidR="00F267F3" w:rsidRPr="00EA444B" w:rsidRDefault="00F267F3" w:rsidP="00BE3952">
      <w:pPr>
        <w:pStyle w:val="Heading1"/>
      </w:pPr>
      <w:bookmarkStart w:id="949" w:name="_Toc83886174"/>
      <w:r w:rsidRPr="00EA444B">
        <w:lastRenderedPageBreak/>
        <w:t>APPENDIX</w:t>
      </w:r>
      <w:r w:rsidR="00D0778C">
        <w:t xml:space="preserve"> </w:t>
      </w:r>
      <w:r w:rsidR="00A321FB">
        <w:t>E</w:t>
      </w:r>
      <w:r w:rsidRPr="00EA444B">
        <w:t>: ACRONYMS</w:t>
      </w:r>
      <w:bookmarkEnd w:id="947"/>
      <w:bookmarkEnd w:id="948"/>
      <w:bookmarkEnd w:id="949"/>
    </w:p>
    <w:tbl>
      <w:tblPr>
        <w:tblW w:w="8340" w:type="dxa"/>
        <w:tblInd w:w="-5" w:type="dxa"/>
        <w:tblLook w:val="04A0" w:firstRow="1" w:lastRow="0" w:firstColumn="1" w:lastColumn="0" w:noHBand="0" w:noVBand="1"/>
      </w:tblPr>
      <w:tblGrid>
        <w:gridCol w:w="1540"/>
        <w:gridCol w:w="6800"/>
      </w:tblGrid>
      <w:tr w:rsidR="0053778B" w:rsidRPr="00EA444B" w14:paraId="370461FC" w14:textId="77777777" w:rsidTr="00031DC6">
        <w:trPr>
          <w:trHeight w:val="287"/>
          <w:tblHeader/>
        </w:trPr>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24D19" w14:textId="77C7C0AA" w:rsidR="0053778B" w:rsidRPr="00031DC6" w:rsidRDefault="00031DC6" w:rsidP="00940436">
            <w:pPr>
              <w:spacing w:line="240" w:lineRule="auto"/>
              <w:rPr>
                <w:b/>
              </w:rPr>
            </w:pPr>
            <w:r w:rsidRPr="00031DC6">
              <w:rPr>
                <w:b/>
              </w:rPr>
              <w:t>Acronym</w:t>
            </w:r>
          </w:p>
        </w:tc>
        <w:tc>
          <w:tcPr>
            <w:tcW w:w="68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274699C" w14:textId="6D67B3BD" w:rsidR="0053778B" w:rsidRPr="00031DC6" w:rsidRDefault="00031DC6" w:rsidP="00940436">
            <w:pPr>
              <w:spacing w:line="240" w:lineRule="auto"/>
              <w:rPr>
                <w:b/>
              </w:rPr>
            </w:pPr>
            <w:r w:rsidRPr="00031DC6">
              <w:rPr>
                <w:b/>
              </w:rPr>
              <w:t>Definition</w:t>
            </w:r>
          </w:p>
        </w:tc>
      </w:tr>
      <w:tr w:rsidR="00031DC6" w:rsidRPr="00EA444B" w14:paraId="7577FE64"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084EFF2" w14:textId="58284869" w:rsidR="00031DC6" w:rsidRPr="00EA444B" w:rsidRDefault="00031DC6" w:rsidP="00031DC6">
            <w:pPr>
              <w:spacing w:line="240" w:lineRule="auto"/>
            </w:pPr>
            <w:r w:rsidRPr="00EA444B">
              <w:t>AAAS</w:t>
            </w:r>
          </w:p>
        </w:tc>
        <w:tc>
          <w:tcPr>
            <w:tcW w:w="6800" w:type="dxa"/>
            <w:tcBorders>
              <w:top w:val="single" w:sz="4" w:space="0" w:color="auto"/>
              <w:left w:val="nil"/>
              <w:bottom w:val="single" w:sz="4" w:space="0" w:color="auto"/>
              <w:right w:val="single" w:sz="4" w:space="0" w:color="auto"/>
            </w:tcBorders>
            <w:shd w:val="clear" w:color="auto" w:fill="auto"/>
            <w:vAlign w:val="center"/>
          </w:tcPr>
          <w:p w14:paraId="16F5F9AC" w14:textId="1C6EDB95" w:rsidR="00031DC6" w:rsidRPr="00EA444B" w:rsidRDefault="00031DC6" w:rsidP="00031DC6">
            <w:pPr>
              <w:spacing w:line="240" w:lineRule="auto"/>
            </w:pPr>
            <w:r w:rsidRPr="00EA444B">
              <w:t>American Association for the Advancement of Science</w:t>
            </w:r>
          </w:p>
        </w:tc>
      </w:tr>
      <w:tr w:rsidR="0053778B" w:rsidRPr="00EA444B" w14:paraId="1DB0C7DA"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E2FD1FF" w14:textId="77777777" w:rsidR="0053778B" w:rsidRPr="00EA444B" w:rsidRDefault="0053778B" w:rsidP="00940436">
            <w:pPr>
              <w:spacing w:line="240" w:lineRule="auto"/>
            </w:pPr>
            <w:r w:rsidRPr="00EA444B">
              <w:t>AAS</w:t>
            </w:r>
          </w:p>
        </w:tc>
        <w:tc>
          <w:tcPr>
            <w:tcW w:w="6800" w:type="dxa"/>
            <w:tcBorders>
              <w:top w:val="nil"/>
              <w:left w:val="nil"/>
              <w:bottom w:val="single" w:sz="4" w:space="0" w:color="auto"/>
              <w:right w:val="single" w:sz="4" w:space="0" w:color="auto"/>
            </w:tcBorders>
            <w:shd w:val="clear" w:color="auto" w:fill="auto"/>
            <w:vAlign w:val="center"/>
            <w:hideMark/>
          </w:tcPr>
          <w:p w14:paraId="4B97E81F" w14:textId="77777777" w:rsidR="0053778B" w:rsidRPr="00EA444B" w:rsidRDefault="0053778B" w:rsidP="00940436">
            <w:pPr>
              <w:spacing w:line="240" w:lineRule="auto"/>
            </w:pPr>
            <w:r w:rsidRPr="00EA444B">
              <w:t>American Astronomical Society</w:t>
            </w:r>
          </w:p>
        </w:tc>
      </w:tr>
      <w:tr w:rsidR="00A014E0" w:rsidRPr="00EA444B" w14:paraId="68AC34BE"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7A2B9BA9" w14:textId="01D2D566" w:rsidR="00A014E0" w:rsidRPr="00EA444B" w:rsidRDefault="00A014E0" w:rsidP="00940436">
            <w:pPr>
              <w:spacing w:line="240" w:lineRule="auto"/>
            </w:pPr>
            <w:r w:rsidRPr="00EA444B">
              <w:t>AAT</w:t>
            </w:r>
          </w:p>
        </w:tc>
        <w:tc>
          <w:tcPr>
            <w:tcW w:w="6800" w:type="dxa"/>
            <w:tcBorders>
              <w:top w:val="nil"/>
              <w:left w:val="nil"/>
              <w:bottom w:val="single" w:sz="4" w:space="0" w:color="auto"/>
              <w:right w:val="single" w:sz="4" w:space="0" w:color="auto"/>
            </w:tcBorders>
            <w:shd w:val="clear" w:color="auto" w:fill="auto"/>
            <w:vAlign w:val="center"/>
          </w:tcPr>
          <w:p w14:paraId="75FF92B6" w14:textId="7631F506" w:rsidR="00A014E0" w:rsidRPr="00EA444B" w:rsidRDefault="00A014E0" w:rsidP="00940436">
            <w:pPr>
              <w:spacing w:line="240" w:lineRule="auto"/>
            </w:pPr>
            <w:r w:rsidRPr="00EA444B">
              <w:t>Archive Access Tool</w:t>
            </w:r>
          </w:p>
        </w:tc>
        <w:bookmarkStart w:id="950" w:name="_GoBack"/>
        <w:bookmarkEnd w:id="950"/>
      </w:tr>
      <w:tr w:rsidR="0053778B" w:rsidRPr="00EA444B" w14:paraId="2B2FFB34"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04ABA9E" w14:textId="77777777" w:rsidR="0053778B" w:rsidRPr="00EA444B" w:rsidRDefault="0053778B" w:rsidP="00940436">
            <w:pPr>
              <w:spacing w:line="240" w:lineRule="auto"/>
            </w:pPr>
            <w:r w:rsidRPr="00EA444B">
              <w:t>AGN</w:t>
            </w:r>
          </w:p>
        </w:tc>
        <w:tc>
          <w:tcPr>
            <w:tcW w:w="6800" w:type="dxa"/>
            <w:tcBorders>
              <w:top w:val="nil"/>
              <w:left w:val="nil"/>
              <w:bottom w:val="single" w:sz="4" w:space="0" w:color="auto"/>
              <w:right w:val="single" w:sz="4" w:space="0" w:color="auto"/>
            </w:tcBorders>
            <w:shd w:val="clear" w:color="auto" w:fill="auto"/>
            <w:vAlign w:val="center"/>
            <w:hideMark/>
          </w:tcPr>
          <w:p w14:paraId="6DE5FD36" w14:textId="77777777" w:rsidR="0053778B" w:rsidRPr="00EA444B" w:rsidRDefault="0053778B" w:rsidP="00940436">
            <w:pPr>
              <w:spacing w:line="240" w:lineRule="auto"/>
            </w:pPr>
            <w:r w:rsidRPr="00EA444B">
              <w:t>Active Galactic Nuclei</w:t>
            </w:r>
          </w:p>
        </w:tc>
      </w:tr>
      <w:tr w:rsidR="007556F1" w:rsidRPr="00EA444B" w14:paraId="5E7C54A4"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12B1A8C2" w14:textId="1784212D" w:rsidR="007556F1" w:rsidRPr="00EA444B" w:rsidRDefault="007556F1" w:rsidP="00940436">
            <w:pPr>
              <w:spacing w:line="240" w:lineRule="auto"/>
            </w:pPr>
            <w:r w:rsidRPr="00EA444B">
              <w:t>ALFALFA</w:t>
            </w:r>
          </w:p>
        </w:tc>
        <w:tc>
          <w:tcPr>
            <w:tcW w:w="6800" w:type="dxa"/>
            <w:tcBorders>
              <w:top w:val="nil"/>
              <w:left w:val="nil"/>
              <w:bottom w:val="single" w:sz="4" w:space="0" w:color="auto"/>
              <w:right w:val="single" w:sz="4" w:space="0" w:color="auto"/>
            </w:tcBorders>
            <w:shd w:val="clear" w:color="auto" w:fill="auto"/>
            <w:vAlign w:val="center"/>
          </w:tcPr>
          <w:p w14:paraId="44A3E45B" w14:textId="00605868" w:rsidR="007556F1" w:rsidRPr="00EA444B" w:rsidRDefault="007556F1" w:rsidP="00940436">
            <w:pPr>
              <w:spacing w:line="240" w:lineRule="auto"/>
            </w:pPr>
            <w:r w:rsidRPr="00EA444B">
              <w:t>Arecibo Legacy Fast Arecibo L-band Feed Array detector</w:t>
            </w:r>
          </w:p>
        </w:tc>
      </w:tr>
      <w:tr w:rsidR="0053778B" w:rsidRPr="00EA444B" w14:paraId="3C7BD07F"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AC4B3A8" w14:textId="77777777" w:rsidR="0053778B" w:rsidRPr="00EA444B" w:rsidRDefault="0053778B" w:rsidP="00940436">
            <w:pPr>
              <w:spacing w:line="240" w:lineRule="auto"/>
            </w:pPr>
            <w:r w:rsidRPr="00EA444B">
              <w:t>ALMA</w:t>
            </w:r>
          </w:p>
        </w:tc>
        <w:tc>
          <w:tcPr>
            <w:tcW w:w="6800" w:type="dxa"/>
            <w:tcBorders>
              <w:top w:val="nil"/>
              <w:left w:val="nil"/>
              <w:bottom w:val="single" w:sz="4" w:space="0" w:color="auto"/>
              <w:right w:val="single" w:sz="4" w:space="0" w:color="auto"/>
            </w:tcBorders>
            <w:shd w:val="clear" w:color="auto" w:fill="auto"/>
            <w:vAlign w:val="center"/>
            <w:hideMark/>
          </w:tcPr>
          <w:p w14:paraId="172D35F6" w14:textId="77777777" w:rsidR="0053778B" w:rsidRPr="00EA444B" w:rsidRDefault="0053778B" w:rsidP="00940436">
            <w:pPr>
              <w:spacing w:line="240" w:lineRule="auto"/>
            </w:pPr>
            <w:r w:rsidRPr="00EA444B">
              <w:t>Atacama Large Millimeter/submillimeter Array</w:t>
            </w:r>
          </w:p>
        </w:tc>
      </w:tr>
      <w:tr w:rsidR="00213E20" w:rsidRPr="00EA444B" w14:paraId="6D11045A"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101BFA4F" w14:textId="4CE2B71A" w:rsidR="00213E20" w:rsidRPr="00EA444B" w:rsidRDefault="00213E20" w:rsidP="00940436">
            <w:pPr>
              <w:spacing w:line="240" w:lineRule="auto"/>
            </w:pPr>
            <w:r w:rsidRPr="00EA444B">
              <w:t>ARGUS</w:t>
            </w:r>
          </w:p>
        </w:tc>
        <w:tc>
          <w:tcPr>
            <w:tcW w:w="6800" w:type="dxa"/>
            <w:tcBorders>
              <w:top w:val="nil"/>
              <w:left w:val="nil"/>
              <w:bottom w:val="single" w:sz="4" w:space="0" w:color="auto"/>
              <w:right w:val="single" w:sz="4" w:space="0" w:color="auto"/>
            </w:tcBorders>
            <w:shd w:val="clear" w:color="auto" w:fill="auto"/>
            <w:vAlign w:val="center"/>
          </w:tcPr>
          <w:p w14:paraId="1C5E69E4" w14:textId="32C70C4F" w:rsidR="00213E20" w:rsidRPr="00EA444B" w:rsidRDefault="00213E20" w:rsidP="00940436">
            <w:pPr>
              <w:spacing w:line="240" w:lineRule="auto"/>
            </w:pPr>
            <w:r w:rsidRPr="00EA444B">
              <w:t>16-pixel W-band focal plane array for mm spectroscopy</w:t>
            </w:r>
          </w:p>
        </w:tc>
      </w:tr>
      <w:tr w:rsidR="0053778B" w:rsidRPr="00EA444B" w14:paraId="1A33713F"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4FA5F77" w14:textId="77777777" w:rsidR="0053778B" w:rsidRPr="00EA444B" w:rsidRDefault="0053778B" w:rsidP="00940436">
            <w:pPr>
              <w:spacing w:line="240" w:lineRule="auto"/>
            </w:pPr>
            <w:r w:rsidRPr="00EA444B">
              <w:t>ASTRID</w:t>
            </w:r>
          </w:p>
        </w:tc>
        <w:tc>
          <w:tcPr>
            <w:tcW w:w="6800" w:type="dxa"/>
            <w:tcBorders>
              <w:top w:val="nil"/>
              <w:left w:val="nil"/>
              <w:bottom w:val="single" w:sz="4" w:space="0" w:color="auto"/>
              <w:right w:val="single" w:sz="4" w:space="0" w:color="auto"/>
            </w:tcBorders>
            <w:shd w:val="clear" w:color="auto" w:fill="auto"/>
            <w:vAlign w:val="center"/>
            <w:hideMark/>
          </w:tcPr>
          <w:p w14:paraId="442D5570" w14:textId="77777777" w:rsidR="0053778B" w:rsidRPr="00EA444B" w:rsidRDefault="0053778B" w:rsidP="00940436">
            <w:pPr>
              <w:spacing w:line="240" w:lineRule="auto"/>
            </w:pPr>
            <w:r w:rsidRPr="00EA444B">
              <w:t>Astronomer's Integrated Desktop</w:t>
            </w:r>
          </w:p>
        </w:tc>
      </w:tr>
      <w:tr w:rsidR="00F04973" w:rsidRPr="00EA444B" w14:paraId="436F5DA5"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3614E62A" w14:textId="47F8B057" w:rsidR="00F04973" w:rsidRPr="00EA444B" w:rsidRDefault="00F04973" w:rsidP="00940436">
            <w:pPr>
              <w:spacing w:line="240" w:lineRule="auto"/>
            </w:pPr>
            <w:r w:rsidRPr="00EA444B">
              <w:t>ATI</w:t>
            </w:r>
          </w:p>
        </w:tc>
        <w:tc>
          <w:tcPr>
            <w:tcW w:w="6800" w:type="dxa"/>
            <w:tcBorders>
              <w:top w:val="nil"/>
              <w:left w:val="nil"/>
              <w:bottom w:val="single" w:sz="4" w:space="0" w:color="auto"/>
              <w:right w:val="single" w:sz="4" w:space="0" w:color="auto"/>
            </w:tcBorders>
            <w:shd w:val="clear" w:color="auto" w:fill="auto"/>
            <w:vAlign w:val="center"/>
          </w:tcPr>
          <w:p w14:paraId="5ACE9D24" w14:textId="6F073F41" w:rsidR="00F04973" w:rsidRPr="00EA444B" w:rsidRDefault="00F04973" w:rsidP="00940436">
            <w:pPr>
              <w:spacing w:line="240" w:lineRule="auto"/>
            </w:pPr>
            <w:r w:rsidRPr="00EA444B">
              <w:t>Advanced Technologies and Instrumentation</w:t>
            </w:r>
          </w:p>
        </w:tc>
      </w:tr>
      <w:tr w:rsidR="0053778B" w:rsidRPr="00EA444B" w14:paraId="2F78D3C3"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28C4345" w14:textId="77777777" w:rsidR="0053778B" w:rsidRPr="00EA444B" w:rsidRDefault="0053778B" w:rsidP="00940436">
            <w:pPr>
              <w:spacing w:line="240" w:lineRule="auto"/>
            </w:pPr>
            <w:r w:rsidRPr="00EA444B">
              <w:t>AUI</w:t>
            </w:r>
          </w:p>
        </w:tc>
        <w:tc>
          <w:tcPr>
            <w:tcW w:w="6800" w:type="dxa"/>
            <w:tcBorders>
              <w:top w:val="nil"/>
              <w:left w:val="nil"/>
              <w:bottom w:val="single" w:sz="4" w:space="0" w:color="auto"/>
              <w:right w:val="single" w:sz="4" w:space="0" w:color="auto"/>
            </w:tcBorders>
            <w:shd w:val="clear" w:color="auto" w:fill="auto"/>
            <w:vAlign w:val="center"/>
            <w:hideMark/>
          </w:tcPr>
          <w:p w14:paraId="19FD8F8D" w14:textId="77777777" w:rsidR="0053778B" w:rsidRPr="00EA444B" w:rsidRDefault="0053778B" w:rsidP="00940436">
            <w:pPr>
              <w:spacing w:line="240" w:lineRule="auto"/>
            </w:pPr>
            <w:r w:rsidRPr="00EA444B">
              <w:t>Associated Universities, Incorporated</w:t>
            </w:r>
          </w:p>
        </w:tc>
      </w:tr>
      <w:tr w:rsidR="0053778B" w:rsidRPr="00EA444B" w14:paraId="3CEBD198"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D4FCF3E" w14:textId="77777777" w:rsidR="0053778B" w:rsidRPr="00EA444B" w:rsidRDefault="0053778B" w:rsidP="00940436">
            <w:pPr>
              <w:spacing w:line="240" w:lineRule="auto"/>
            </w:pPr>
            <w:r w:rsidRPr="00EA444B">
              <w:t>BYU</w:t>
            </w:r>
          </w:p>
        </w:tc>
        <w:tc>
          <w:tcPr>
            <w:tcW w:w="6800" w:type="dxa"/>
            <w:tcBorders>
              <w:top w:val="nil"/>
              <w:left w:val="nil"/>
              <w:bottom w:val="single" w:sz="4" w:space="0" w:color="auto"/>
              <w:right w:val="single" w:sz="4" w:space="0" w:color="auto"/>
            </w:tcBorders>
            <w:shd w:val="clear" w:color="auto" w:fill="auto"/>
            <w:vAlign w:val="center"/>
            <w:hideMark/>
          </w:tcPr>
          <w:p w14:paraId="39CE5DA8" w14:textId="77777777" w:rsidR="0053778B" w:rsidRPr="00EA444B" w:rsidRDefault="0053778B" w:rsidP="00940436">
            <w:pPr>
              <w:spacing w:line="240" w:lineRule="auto"/>
            </w:pPr>
            <w:r w:rsidRPr="00EA444B">
              <w:t>Brigham Young University</w:t>
            </w:r>
          </w:p>
        </w:tc>
      </w:tr>
      <w:tr w:rsidR="0053778B" w:rsidRPr="00EA444B" w14:paraId="55D6B79E"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DD48CB6" w14:textId="77777777" w:rsidR="0053778B" w:rsidRPr="00EA444B" w:rsidRDefault="0053778B" w:rsidP="00940436">
            <w:pPr>
              <w:spacing w:line="240" w:lineRule="auto"/>
            </w:pPr>
            <w:r w:rsidRPr="00EA444B">
              <w:t>CA</w:t>
            </w:r>
          </w:p>
        </w:tc>
        <w:tc>
          <w:tcPr>
            <w:tcW w:w="6800" w:type="dxa"/>
            <w:tcBorders>
              <w:top w:val="nil"/>
              <w:left w:val="nil"/>
              <w:bottom w:val="single" w:sz="4" w:space="0" w:color="auto"/>
              <w:right w:val="single" w:sz="4" w:space="0" w:color="auto"/>
            </w:tcBorders>
            <w:shd w:val="clear" w:color="auto" w:fill="auto"/>
            <w:vAlign w:val="center"/>
            <w:hideMark/>
          </w:tcPr>
          <w:p w14:paraId="1E26E974" w14:textId="77777777" w:rsidR="0053778B" w:rsidRPr="00EA444B" w:rsidRDefault="0053778B" w:rsidP="00940436">
            <w:pPr>
              <w:spacing w:line="240" w:lineRule="auto"/>
            </w:pPr>
            <w:r w:rsidRPr="00EA444B">
              <w:t>Cooperative Agreement</w:t>
            </w:r>
          </w:p>
        </w:tc>
      </w:tr>
      <w:tr w:rsidR="0053778B" w:rsidRPr="00EA444B" w14:paraId="7977C892"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94F163F" w14:textId="77777777" w:rsidR="0053778B" w:rsidRPr="00EA444B" w:rsidRDefault="0053778B" w:rsidP="00940436">
            <w:pPr>
              <w:spacing w:line="240" w:lineRule="auto"/>
            </w:pPr>
            <w:r w:rsidRPr="00EA444B">
              <w:t>CASA</w:t>
            </w:r>
          </w:p>
        </w:tc>
        <w:tc>
          <w:tcPr>
            <w:tcW w:w="6800" w:type="dxa"/>
            <w:tcBorders>
              <w:top w:val="nil"/>
              <w:left w:val="nil"/>
              <w:bottom w:val="single" w:sz="4" w:space="0" w:color="auto"/>
              <w:right w:val="single" w:sz="4" w:space="0" w:color="auto"/>
            </w:tcBorders>
            <w:shd w:val="clear" w:color="auto" w:fill="auto"/>
            <w:vAlign w:val="center"/>
            <w:hideMark/>
          </w:tcPr>
          <w:p w14:paraId="5A152D4D" w14:textId="77777777" w:rsidR="0053778B" w:rsidRPr="00EA444B" w:rsidRDefault="0053778B" w:rsidP="00940436">
            <w:pPr>
              <w:spacing w:line="240" w:lineRule="auto"/>
            </w:pPr>
            <w:r w:rsidRPr="00EA444B">
              <w:t>Common Astronomy Software Applications</w:t>
            </w:r>
          </w:p>
        </w:tc>
      </w:tr>
      <w:tr w:rsidR="001C0FD0" w:rsidRPr="00EA444B" w14:paraId="53F849D2"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1F34A5E0" w14:textId="02A0F087" w:rsidR="001C0FD0" w:rsidRPr="00EA444B" w:rsidRDefault="001C0FD0" w:rsidP="00940436">
            <w:pPr>
              <w:spacing w:line="240" w:lineRule="auto"/>
            </w:pPr>
            <w:r w:rsidRPr="00EA444B">
              <w:t>CASPER</w:t>
            </w:r>
          </w:p>
        </w:tc>
        <w:tc>
          <w:tcPr>
            <w:tcW w:w="6800" w:type="dxa"/>
            <w:tcBorders>
              <w:top w:val="nil"/>
              <w:left w:val="nil"/>
              <w:bottom w:val="single" w:sz="4" w:space="0" w:color="auto"/>
              <w:right w:val="single" w:sz="4" w:space="0" w:color="auto"/>
            </w:tcBorders>
            <w:shd w:val="clear" w:color="auto" w:fill="auto"/>
            <w:vAlign w:val="center"/>
          </w:tcPr>
          <w:p w14:paraId="41CC4177" w14:textId="10738CA2" w:rsidR="001C0FD0" w:rsidRPr="00EA444B" w:rsidRDefault="001C0FD0" w:rsidP="00940436">
            <w:pPr>
              <w:spacing w:line="240" w:lineRule="auto"/>
            </w:pPr>
            <w:r w:rsidRPr="00EA444B">
              <w:t>Collaboration for Astronomy Signal Processing and Electronics Research</w:t>
            </w:r>
          </w:p>
        </w:tc>
      </w:tr>
      <w:tr w:rsidR="0053778B" w:rsidRPr="00EA444B" w14:paraId="26467B5F"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35694EF" w14:textId="77777777" w:rsidR="0053778B" w:rsidRPr="00EA444B" w:rsidRDefault="0053778B" w:rsidP="00940436">
            <w:pPr>
              <w:spacing w:line="240" w:lineRule="auto"/>
            </w:pPr>
            <w:r w:rsidRPr="00EA444B">
              <w:t>CCB</w:t>
            </w:r>
          </w:p>
        </w:tc>
        <w:tc>
          <w:tcPr>
            <w:tcW w:w="6800" w:type="dxa"/>
            <w:tcBorders>
              <w:top w:val="nil"/>
              <w:left w:val="nil"/>
              <w:bottom w:val="single" w:sz="4" w:space="0" w:color="auto"/>
              <w:right w:val="single" w:sz="4" w:space="0" w:color="auto"/>
            </w:tcBorders>
            <w:shd w:val="clear" w:color="auto" w:fill="auto"/>
            <w:vAlign w:val="center"/>
            <w:hideMark/>
          </w:tcPr>
          <w:p w14:paraId="2B9C4D19" w14:textId="77777777" w:rsidR="0053778B" w:rsidRPr="00EA444B" w:rsidRDefault="0053778B" w:rsidP="00940436">
            <w:pPr>
              <w:spacing w:line="240" w:lineRule="auto"/>
            </w:pPr>
            <w:r w:rsidRPr="00EA444B">
              <w:t>Caltech Continuum Backend</w:t>
            </w:r>
          </w:p>
        </w:tc>
      </w:tr>
      <w:tr w:rsidR="00334960" w:rsidRPr="00EA444B" w14:paraId="0E767624"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11D045F5" w14:textId="673309BA" w:rsidR="00334960" w:rsidRPr="00EA444B" w:rsidRDefault="00334960" w:rsidP="00940436">
            <w:pPr>
              <w:spacing w:line="240" w:lineRule="auto"/>
            </w:pPr>
            <w:r w:rsidRPr="00EA444B">
              <w:t>CGM</w:t>
            </w:r>
          </w:p>
        </w:tc>
        <w:tc>
          <w:tcPr>
            <w:tcW w:w="6800" w:type="dxa"/>
            <w:tcBorders>
              <w:top w:val="nil"/>
              <w:left w:val="nil"/>
              <w:bottom w:val="single" w:sz="4" w:space="0" w:color="auto"/>
              <w:right w:val="single" w:sz="4" w:space="0" w:color="auto"/>
            </w:tcBorders>
            <w:shd w:val="clear" w:color="auto" w:fill="auto"/>
            <w:vAlign w:val="center"/>
          </w:tcPr>
          <w:p w14:paraId="7E188A16" w14:textId="0516C11F" w:rsidR="00334960" w:rsidRPr="00EA444B" w:rsidRDefault="00334960" w:rsidP="00940436">
            <w:pPr>
              <w:spacing w:line="240" w:lineRule="auto"/>
            </w:pPr>
            <w:proofErr w:type="spellStart"/>
            <w:r w:rsidRPr="00EA444B">
              <w:t>Circumgalactic</w:t>
            </w:r>
            <w:proofErr w:type="spellEnd"/>
            <w:r w:rsidRPr="00EA444B">
              <w:t xml:space="preserve"> Medium</w:t>
            </w:r>
          </w:p>
        </w:tc>
      </w:tr>
      <w:tr w:rsidR="003F094F" w:rsidRPr="00EA444B" w14:paraId="200F5380"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31875C94" w14:textId="291F41C4" w:rsidR="003F094F" w:rsidRPr="00EA444B" w:rsidRDefault="003F094F" w:rsidP="00940436">
            <w:pPr>
              <w:spacing w:line="240" w:lineRule="auto"/>
            </w:pPr>
            <w:r>
              <w:t>CHIME</w:t>
            </w:r>
          </w:p>
        </w:tc>
        <w:tc>
          <w:tcPr>
            <w:tcW w:w="6800" w:type="dxa"/>
            <w:tcBorders>
              <w:top w:val="nil"/>
              <w:left w:val="nil"/>
              <w:bottom w:val="single" w:sz="4" w:space="0" w:color="auto"/>
              <w:right w:val="single" w:sz="4" w:space="0" w:color="auto"/>
            </w:tcBorders>
            <w:shd w:val="clear" w:color="auto" w:fill="auto"/>
            <w:vAlign w:val="center"/>
          </w:tcPr>
          <w:p w14:paraId="30F7734E" w14:textId="07118762" w:rsidR="003F094F" w:rsidRPr="00EA444B" w:rsidRDefault="003F094F" w:rsidP="00940436">
            <w:pPr>
              <w:spacing w:line="240" w:lineRule="auto"/>
            </w:pPr>
            <w:r>
              <w:t>Canadian Hydrogen Intensity Mapping Experiment</w:t>
            </w:r>
          </w:p>
        </w:tc>
      </w:tr>
      <w:tr w:rsidR="007556F1" w:rsidRPr="00EA444B" w14:paraId="7D70A39F"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6C4E7075" w14:textId="0F7EFB80" w:rsidR="007556F1" w:rsidRPr="00EA444B" w:rsidRDefault="007556F1" w:rsidP="00940436">
            <w:pPr>
              <w:spacing w:line="240" w:lineRule="auto"/>
            </w:pPr>
            <w:r w:rsidRPr="00EA444B">
              <w:t>CLEO</w:t>
            </w:r>
          </w:p>
        </w:tc>
        <w:tc>
          <w:tcPr>
            <w:tcW w:w="6800" w:type="dxa"/>
            <w:tcBorders>
              <w:top w:val="nil"/>
              <w:left w:val="nil"/>
              <w:bottom w:val="single" w:sz="4" w:space="0" w:color="auto"/>
              <w:right w:val="single" w:sz="4" w:space="0" w:color="auto"/>
            </w:tcBorders>
            <w:shd w:val="clear" w:color="auto" w:fill="auto"/>
            <w:vAlign w:val="center"/>
          </w:tcPr>
          <w:p w14:paraId="183D2993" w14:textId="13236A7C" w:rsidR="007556F1" w:rsidRPr="00EA444B" w:rsidRDefault="007556F1" w:rsidP="00940436">
            <w:pPr>
              <w:spacing w:line="240" w:lineRule="auto"/>
            </w:pPr>
            <w:r w:rsidRPr="00EA444B">
              <w:t>Command Library for Operators and Engineers</w:t>
            </w:r>
          </w:p>
        </w:tc>
      </w:tr>
      <w:tr w:rsidR="0053778B" w:rsidRPr="00EA444B" w14:paraId="2C58282E"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8F7A355" w14:textId="77777777" w:rsidR="0053778B" w:rsidRPr="00EA444B" w:rsidRDefault="0053778B" w:rsidP="00940436">
            <w:pPr>
              <w:spacing w:line="240" w:lineRule="auto"/>
            </w:pPr>
            <w:r w:rsidRPr="00EA444B">
              <w:t>CO</w:t>
            </w:r>
          </w:p>
        </w:tc>
        <w:tc>
          <w:tcPr>
            <w:tcW w:w="6800" w:type="dxa"/>
            <w:tcBorders>
              <w:top w:val="nil"/>
              <w:left w:val="nil"/>
              <w:bottom w:val="single" w:sz="4" w:space="0" w:color="auto"/>
              <w:right w:val="single" w:sz="4" w:space="0" w:color="auto"/>
            </w:tcBorders>
            <w:shd w:val="clear" w:color="auto" w:fill="auto"/>
            <w:vAlign w:val="center"/>
            <w:hideMark/>
          </w:tcPr>
          <w:p w14:paraId="4F41DA15" w14:textId="77777777" w:rsidR="0053778B" w:rsidRPr="00EA444B" w:rsidRDefault="0053778B" w:rsidP="00940436">
            <w:pPr>
              <w:spacing w:line="240" w:lineRule="auto"/>
            </w:pPr>
            <w:r w:rsidRPr="00EA444B">
              <w:t>Carbon Monoxide</w:t>
            </w:r>
          </w:p>
        </w:tc>
      </w:tr>
      <w:tr w:rsidR="0053778B" w:rsidRPr="00EA444B" w14:paraId="677D19CC"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D0A2A4D" w14:textId="3DD316FC" w:rsidR="0053778B" w:rsidRPr="00EA444B" w:rsidRDefault="0053778B" w:rsidP="00940436">
            <w:pPr>
              <w:spacing w:line="240" w:lineRule="auto"/>
            </w:pPr>
            <w:r w:rsidRPr="00EA444B">
              <w:t>Co-</w:t>
            </w:r>
            <w:r w:rsidR="00C23AFF" w:rsidRPr="00EA444B">
              <w:t>P</w:t>
            </w:r>
            <w:r w:rsidRPr="00EA444B">
              <w:t>I</w:t>
            </w:r>
          </w:p>
        </w:tc>
        <w:tc>
          <w:tcPr>
            <w:tcW w:w="6800" w:type="dxa"/>
            <w:tcBorders>
              <w:top w:val="nil"/>
              <w:left w:val="nil"/>
              <w:bottom w:val="single" w:sz="4" w:space="0" w:color="auto"/>
              <w:right w:val="single" w:sz="4" w:space="0" w:color="auto"/>
            </w:tcBorders>
            <w:shd w:val="clear" w:color="auto" w:fill="auto"/>
            <w:vAlign w:val="center"/>
            <w:hideMark/>
          </w:tcPr>
          <w:p w14:paraId="1A05B1A7" w14:textId="164CC0D0" w:rsidR="0053778B" w:rsidRPr="00EA444B" w:rsidRDefault="0053778B" w:rsidP="00940436">
            <w:pPr>
              <w:spacing w:line="240" w:lineRule="auto"/>
            </w:pPr>
            <w:r w:rsidRPr="00EA444B">
              <w:t>Co-</w:t>
            </w:r>
            <w:r w:rsidR="00C23AFF" w:rsidRPr="00EA444B">
              <w:t xml:space="preserve">Principal </w:t>
            </w:r>
            <w:r w:rsidRPr="00EA444B">
              <w:t>Investigator</w:t>
            </w:r>
          </w:p>
        </w:tc>
      </w:tr>
      <w:tr w:rsidR="0053778B" w:rsidRPr="00EA444B" w14:paraId="5DEC49CF"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553A7E9" w14:textId="77777777" w:rsidR="0053778B" w:rsidRPr="00EA444B" w:rsidRDefault="0053778B" w:rsidP="00940436">
            <w:pPr>
              <w:spacing w:line="240" w:lineRule="auto"/>
            </w:pPr>
            <w:r w:rsidRPr="00EA444B">
              <w:t>CORS</w:t>
            </w:r>
          </w:p>
        </w:tc>
        <w:tc>
          <w:tcPr>
            <w:tcW w:w="6800" w:type="dxa"/>
            <w:tcBorders>
              <w:top w:val="nil"/>
              <w:left w:val="nil"/>
              <w:bottom w:val="single" w:sz="4" w:space="0" w:color="auto"/>
              <w:right w:val="single" w:sz="4" w:space="0" w:color="auto"/>
            </w:tcBorders>
            <w:shd w:val="clear" w:color="auto" w:fill="auto"/>
            <w:vAlign w:val="center"/>
            <w:hideMark/>
          </w:tcPr>
          <w:p w14:paraId="355D78B3" w14:textId="77777777" w:rsidR="0053778B" w:rsidRPr="00EA444B" w:rsidRDefault="0053778B" w:rsidP="00940436">
            <w:pPr>
              <w:spacing w:line="240" w:lineRule="auto"/>
            </w:pPr>
            <w:r w:rsidRPr="00EA444B">
              <w:t>Continuous Operating Reference Station</w:t>
            </w:r>
          </w:p>
        </w:tc>
      </w:tr>
      <w:tr w:rsidR="00A00969" w:rsidRPr="00EA444B" w14:paraId="2CB6526F"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7B7A0F2F" w14:textId="13B2AFD1" w:rsidR="00A00969" w:rsidRPr="00EA444B" w:rsidRDefault="00A00969" w:rsidP="00940436">
            <w:pPr>
              <w:spacing w:line="240" w:lineRule="auto"/>
            </w:pPr>
            <w:r w:rsidRPr="00EA444B">
              <w:t>CMU</w:t>
            </w:r>
          </w:p>
        </w:tc>
        <w:tc>
          <w:tcPr>
            <w:tcW w:w="6800" w:type="dxa"/>
            <w:tcBorders>
              <w:top w:val="nil"/>
              <w:left w:val="nil"/>
              <w:bottom w:val="single" w:sz="4" w:space="0" w:color="auto"/>
              <w:right w:val="single" w:sz="4" w:space="0" w:color="auto"/>
            </w:tcBorders>
            <w:shd w:val="clear" w:color="auto" w:fill="auto"/>
            <w:vAlign w:val="center"/>
          </w:tcPr>
          <w:p w14:paraId="14A58399" w14:textId="50AC63BD" w:rsidR="00A00969" w:rsidRPr="00EA444B" w:rsidRDefault="00A00969" w:rsidP="00940436">
            <w:pPr>
              <w:spacing w:line="240" w:lineRule="auto"/>
            </w:pPr>
            <w:r w:rsidRPr="00EA444B">
              <w:t>Carnegie Mellon University</w:t>
            </w:r>
          </w:p>
        </w:tc>
      </w:tr>
      <w:tr w:rsidR="001C0FD0" w:rsidRPr="00EA444B" w14:paraId="62CE928C"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5025BBD3" w14:textId="3AB3DD44" w:rsidR="001C0FD0" w:rsidRPr="00EA444B" w:rsidRDefault="001C0FD0" w:rsidP="00940436">
            <w:pPr>
              <w:spacing w:line="240" w:lineRule="auto"/>
            </w:pPr>
            <w:r w:rsidRPr="00EA444B">
              <w:t>CST</w:t>
            </w:r>
          </w:p>
        </w:tc>
        <w:tc>
          <w:tcPr>
            <w:tcW w:w="6800" w:type="dxa"/>
            <w:tcBorders>
              <w:top w:val="nil"/>
              <w:left w:val="nil"/>
              <w:bottom w:val="single" w:sz="4" w:space="0" w:color="auto"/>
              <w:right w:val="single" w:sz="4" w:space="0" w:color="auto"/>
            </w:tcBorders>
            <w:shd w:val="clear" w:color="auto" w:fill="auto"/>
            <w:vAlign w:val="center"/>
          </w:tcPr>
          <w:p w14:paraId="52A36E62" w14:textId="758EB010" w:rsidR="001C0FD0" w:rsidRPr="00EA444B" w:rsidRDefault="001C0FD0" w:rsidP="00940436">
            <w:pPr>
              <w:spacing w:line="240" w:lineRule="auto"/>
            </w:pPr>
            <w:r w:rsidRPr="00EA444B">
              <w:t>Computer Simulation Technology</w:t>
            </w:r>
          </w:p>
        </w:tc>
      </w:tr>
      <w:tr w:rsidR="0053778B" w:rsidRPr="00EA444B" w14:paraId="463EB152"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CD881C9" w14:textId="77777777" w:rsidR="0053778B" w:rsidRPr="00EA444B" w:rsidRDefault="0053778B" w:rsidP="00940436">
            <w:pPr>
              <w:spacing w:line="240" w:lineRule="auto"/>
            </w:pPr>
            <w:r w:rsidRPr="00EA444B">
              <w:t>CY</w:t>
            </w:r>
          </w:p>
        </w:tc>
        <w:tc>
          <w:tcPr>
            <w:tcW w:w="6800" w:type="dxa"/>
            <w:tcBorders>
              <w:top w:val="nil"/>
              <w:left w:val="nil"/>
              <w:bottom w:val="single" w:sz="4" w:space="0" w:color="auto"/>
              <w:right w:val="single" w:sz="4" w:space="0" w:color="auto"/>
            </w:tcBorders>
            <w:shd w:val="clear" w:color="auto" w:fill="auto"/>
            <w:vAlign w:val="center"/>
            <w:hideMark/>
          </w:tcPr>
          <w:p w14:paraId="28F7D1F7" w14:textId="77777777" w:rsidR="0053778B" w:rsidRPr="00EA444B" w:rsidRDefault="0053778B" w:rsidP="00940436">
            <w:pPr>
              <w:spacing w:line="240" w:lineRule="auto"/>
            </w:pPr>
            <w:r w:rsidRPr="00EA444B">
              <w:t>Calendar Year</w:t>
            </w:r>
          </w:p>
        </w:tc>
      </w:tr>
      <w:tr w:rsidR="0053778B" w:rsidRPr="00EA444B" w14:paraId="3A89AC1F"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E25604B" w14:textId="77777777" w:rsidR="0053778B" w:rsidRPr="00EA444B" w:rsidRDefault="0053778B" w:rsidP="00940436">
            <w:pPr>
              <w:spacing w:line="240" w:lineRule="auto"/>
            </w:pPr>
            <w:r w:rsidRPr="00EA444B">
              <w:t>DARPA</w:t>
            </w:r>
          </w:p>
        </w:tc>
        <w:tc>
          <w:tcPr>
            <w:tcW w:w="6800" w:type="dxa"/>
            <w:tcBorders>
              <w:top w:val="nil"/>
              <w:left w:val="nil"/>
              <w:bottom w:val="single" w:sz="4" w:space="0" w:color="auto"/>
              <w:right w:val="single" w:sz="4" w:space="0" w:color="auto"/>
            </w:tcBorders>
            <w:shd w:val="clear" w:color="auto" w:fill="auto"/>
            <w:vAlign w:val="center"/>
            <w:hideMark/>
          </w:tcPr>
          <w:p w14:paraId="2AEBFE5B" w14:textId="77777777" w:rsidR="0053778B" w:rsidRPr="00EA444B" w:rsidRDefault="0053778B" w:rsidP="00940436">
            <w:pPr>
              <w:spacing w:line="240" w:lineRule="auto"/>
            </w:pPr>
            <w:r w:rsidRPr="00EA444B">
              <w:t>Defense Advanced Research Projects Agency</w:t>
            </w:r>
          </w:p>
        </w:tc>
      </w:tr>
      <w:tr w:rsidR="0053778B" w:rsidRPr="00EA444B" w14:paraId="1C147C74"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E9CEA8B" w14:textId="77777777" w:rsidR="0053778B" w:rsidRPr="00EA444B" w:rsidRDefault="0053778B" w:rsidP="00940436">
            <w:pPr>
              <w:spacing w:line="240" w:lineRule="auto"/>
            </w:pPr>
            <w:r w:rsidRPr="00EA444B">
              <w:t>DCR</w:t>
            </w:r>
          </w:p>
        </w:tc>
        <w:tc>
          <w:tcPr>
            <w:tcW w:w="6800" w:type="dxa"/>
            <w:tcBorders>
              <w:top w:val="nil"/>
              <w:left w:val="nil"/>
              <w:bottom w:val="single" w:sz="4" w:space="0" w:color="auto"/>
              <w:right w:val="single" w:sz="4" w:space="0" w:color="auto"/>
            </w:tcBorders>
            <w:shd w:val="clear" w:color="auto" w:fill="auto"/>
            <w:vAlign w:val="center"/>
            <w:hideMark/>
          </w:tcPr>
          <w:p w14:paraId="74DEA2B2" w14:textId="77777777" w:rsidR="0053778B" w:rsidRPr="00EA444B" w:rsidRDefault="0053778B" w:rsidP="00940436">
            <w:pPr>
              <w:spacing w:line="240" w:lineRule="auto"/>
            </w:pPr>
            <w:r w:rsidRPr="00EA444B">
              <w:t>Digital Continuum Receiver</w:t>
            </w:r>
          </w:p>
        </w:tc>
      </w:tr>
      <w:tr w:rsidR="0053778B" w:rsidRPr="00EA444B" w14:paraId="327BC1C1"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8F7364C" w14:textId="77777777" w:rsidR="0053778B" w:rsidRPr="00EA444B" w:rsidRDefault="0053778B" w:rsidP="00940436">
            <w:pPr>
              <w:spacing w:line="240" w:lineRule="auto"/>
            </w:pPr>
            <w:r w:rsidRPr="00EA444B">
              <w:lastRenderedPageBreak/>
              <w:t>DDC</w:t>
            </w:r>
          </w:p>
        </w:tc>
        <w:tc>
          <w:tcPr>
            <w:tcW w:w="6800" w:type="dxa"/>
            <w:tcBorders>
              <w:top w:val="nil"/>
              <w:left w:val="nil"/>
              <w:bottom w:val="single" w:sz="4" w:space="0" w:color="auto"/>
              <w:right w:val="single" w:sz="4" w:space="0" w:color="auto"/>
            </w:tcBorders>
            <w:shd w:val="clear" w:color="auto" w:fill="auto"/>
            <w:vAlign w:val="center"/>
            <w:hideMark/>
          </w:tcPr>
          <w:p w14:paraId="1EEAD861" w14:textId="77777777" w:rsidR="0053778B" w:rsidRPr="00EA444B" w:rsidRDefault="0053778B" w:rsidP="00940436">
            <w:pPr>
              <w:spacing w:line="240" w:lineRule="auto"/>
            </w:pPr>
            <w:r w:rsidRPr="00EA444B">
              <w:t>Digital Down-Converter</w:t>
            </w:r>
          </w:p>
        </w:tc>
      </w:tr>
      <w:tr w:rsidR="00A014E0" w:rsidRPr="00EA444B" w14:paraId="1489CEA5"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06EC4007" w14:textId="1CE8BA2A" w:rsidR="00A014E0" w:rsidRPr="00EA444B" w:rsidRDefault="00A014E0" w:rsidP="00940436">
            <w:pPr>
              <w:spacing w:line="240" w:lineRule="auto"/>
            </w:pPr>
            <w:r w:rsidRPr="00EA444B">
              <w:t>DDT</w:t>
            </w:r>
          </w:p>
        </w:tc>
        <w:tc>
          <w:tcPr>
            <w:tcW w:w="6800" w:type="dxa"/>
            <w:tcBorders>
              <w:top w:val="nil"/>
              <w:left w:val="nil"/>
              <w:bottom w:val="single" w:sz="4" w:space="0" w:color="auto"/>
              <w:right w:val="single" w:sz="4" w:space="0" w:color="auto"/>
            </w:tcBorders>
            <w:shd w:val="clear" w:color="auto" w:fill="auto"/>
            <w:vAlign w:val="center"/>
          </w:tcPr>
          <w:p w14:paraId="306101AB" w14:textId="0473B632" w:rsidR="00A014E0" w:rsidRPr="00EA444B" w:rsidRDefault="00A014E0" w:rsidP="00940436">
            <w:pPr>
              <w:spacing w:line="240" w:lineRule="auto"/>
            </w:pPr>
            <w:r w:rsidRPr="00EA444B">
              <w:t>Director’s Discretionary Time</w:t>
            </w:r>
          </w:p>
        </w:tc>
      </w:tr>
      <w:tr w:rsidR="0053778B" w:rsidRPr="00EA444B" w14:paraId="3C7A3E75"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0C4CBA6" w14:textId="77777777" w:rsidR="0053778B" w:rsidRPr="00EA444B" w:rsidRDefault="0053778B" w:rsidP="00940436">
            <w:pPr>
              <w:spacing w:line="240" w:lineRule="auto"/>
            </w:pPr>
            <w:proofErr w:type="spellStart"/>
            <w:r w:rsidRPr="00EA444B">
              <w:t>DiFX</w:t>
            </w:r>
            <w:proofErr w:type="spellEnd"/>
          </w:p>
        </w:tc>
        <w:tc>
          <w:tcPr>
            <w:tcW w:w="6800" w:type="dxa"/>
            <w:tcBorders>
              <w:top w:val="nil"/>
              <w:left w:val="nil"/>
              <w:bottom w:val="single" w:sz="4" w:space="0" w:color="auto"/>
              <w:right w:val="single" w:sz="4" w:space="0" w:color="auto"/>
            </w:tcBorders>
            <w:shd w:val="clear" w:color="auto" w:fill="auto"/>
            <w:vAlign w:val="center"/>
            <w:hideMark/>
          </w:tcPr>
          <w:p w14:paraId="28C58489" w14:textId="77777777" w:rsidR="0053778B" w:rsidRPr="00EA444B" w:rsidRDefault="0053778B" w:rsidP="00940436">
            <w:pPr>
              <w:spacing w:line="240" w:lineRule="auto"/>
            </w:pPr>
            <w:r w:rsidRPr="00EA444B">
              <w:t>Distributed FX Correlator</w:t>
            </w:r>
          </w:p>
        </w:tc>
      </w:tr>
      <w:tr w:rsidR="00227F3B" w:rsidRPr="00EA444B" w14:paraId="64F0EFE9" w14:textId="77777777" w:rsidTr="00213DD5">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3B4AEF80" w14:textId="26D121E5" w:rsidR="00227F3B" w:rsidRPr="00EA444B" w:rsidRDefault="00227F3B" w:rsidP="00940436">
            <w:pPr>
              <w:spacing w:line="240" w:lineRule="auto"/>
            </w:pPr>
            <w:r w:rsidRPr="00EA444B">
              <w:t>DEGAS</w:t>
            </w:r>
          </w:p>
        </w:tc>
        <w:tc>
          <w:tcPr>
            <w:tcW w:w="6800" w:type="dxa"/>
            <w:tcBorders>
              <w:top w:val="nil"/>
              <w:left w:val="nil"/>
              <w:bottom w:val="single" w:sz="4" w:space="0" w:color="auto"/>
              <w:right w:val="single" w:sz="4" w:space="0" w:color="auto"/>
            </w:tcBorders>
            <w:shd w:val="clear" w:color="auto" w:fill="auto"/>
            <w:vAlign w:val="center"/>
          </w:tcPr>
          <w:p w14:paraId="44D2C589" w14:textId="79C6631F" w:rsidR="00227F3B" w:rsidRPr="00EA444B" w:rsidRDefault="00227F3B" w:rsidP="00940436">
            <w:pPr>
              <w:spacing w:line="240" w:lineRule="auto"/>
            </w:pPr>
            <w:r w:rsidRPr="00EA444B">
              <w:t xml:space="preserve">Dense Extragalactic </w:t>
            </w:r>
            <w:proofErr w:type="spellStart"/>
            <w:r w:rsidRPr="00EA444B">
              <w:t>GBT+Argus</w:t>
            </w:r>
            <w:proofErr w:type="spellEnd"/>
            <w:r w:rsidRPr="00EA444B">
              <w:t xml:space="preserve"> Survey</w:t>
            </w:r>
          </w:p>
        </w:tc>
      </w:tr>
      <w:tr w:rsidR="00C23AFF" w:rsidRPr="00EA444B" w14:paraId="449E5AB1" w14:textId="77777777" w:rsidTr="00213DD5">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ED8D192" w14:textId="0EC5324E" w:rsidR="00C23AFF" w:rsidRPr="00EA444B" w:rsidRDefault="00C23AFF" w:rsidP="00940436">
            <w:pPr>
              <w:spacing w:line="240" w:lineRule="auto"/>
            </w:pPr>
            <w:r w:rsidRPr="00EA444B">
              <w:t>DSPIRA</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tcPr>
          <w:p w14:paraId="2EEC91B3" w14:textId="0490727C" w:rsidR="00C23AFF" w:rsidRPr="00EA444B" w:rsidRDefault="00C23AFF" w:rsidP="00940436">
            <w:pPr>
              <w:spacing w:line="240" w:lineRule="auto"/>
            </w:pPr>
            <w:r w:rsidRPr="00EA444B">
              <w:t>Digital Signal Processing in Radio Astronomy</w:t>
            </w:r>
          </w:p>
        </w:tc>
      </w:tr>
      <w:tr w:rsidR="0053778B" w:rsidRPr="00EA444B" w14:paraId="219D7E84" w14:textId="77777777" w:rsidTr="00213DD5">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2021C" w14:textId="77777777" w:rsidR="0053778B" w:rsidRPr="00EA444B" w:rsidRDefault="0053778B" w:rsidP="00940436">
            <w:pPr>
              <w:spacing w:line="240" w:lineRule="auto"/>
            </w:pPr>
            <w:r w:rsidRPr="00EA444B">
              <w:t>DSS</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1A17E449" w14:textId="77777777" w:rsidR="0053778B" w:rsidRPr="00EA444B" w:rsidRDefault="0053778B" w:rsidP="00940436">
            <w:pPr>
              <w:spacing w:line="240" w:lineRule="auto"/>
            </w:pPr>
            <w:r w:rsidRPr="00EA444B">
              <w:t>Dynamic System Scheduler</w:t>
            </w:r>
          </w:p>
        </w:tc>
      </w:tr>
      <w:tr w:rsidR="007556F1" w:rsidRPr="00EA444B" w14:paraId="25597370"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117043D4" w14:textId="5722ACBD" w:rsidR="007556F1" w:rsidRPr="00EA444B" w:rsidRDefault="007556F1" w:rsidP="00940436">
            <w:pPr>
              <w:spacing w:line="240" w:lineRule="auto"/>
            </w:pPr>
            <w:r w:rsidRPr="00EA444B">
              <w:t>ERIRA</w:t>
            </w:r>
          </w:p>
        </w:tc>
        <w:tc>
          <w:tcPr>
            <w:tcW w:w="6800" w:type="dxa"/>
            <w:tcBorders>
              <w:top w:val="nil"/>
              <w:left w:val="nil"/>
              <w:bottom w:val="single" w:sz="4" w:space="0" w:color="auto"/>
              <w:right w:val="single" w:sz="4" w:space="0" w:color="auto"/>
            </w:tcBorders>
            <w:shd w:val="clear" w:color="auto" w:fill="auto"/>
            <w:vAlign w:val="center"/>
          </w:tcPr>
          <w:p w14:paraId="1AE6DA82" w14:textId="744641C4" w:rsidR="007556F1" w:rsidRPr="00EA444B" w:rsidRDefault="007556F1" w:rsidP="00940436">
            <w:pPr>
              <w:spacing w:line="240" w:lineRule="auto"/>
            </w:pPr>
            <w:r w:rsidRPr="00EA444B">
              <w:t>Educational Research in Radio Astronomy</w:t>
            </w:r>
          </w:p>
        </w:tc>
      </w:tr>
      <w:tr w:rsidR="0053778B" w:rsidRPr="00EA444B" w14:paraId="7E1C0D38"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20B580F" w14:textId="77777777" w:rsidR="0053778B" w:rsidRPr="00EA444B" w:rsidRDefault="0053778B" w:rsidP="00940436">
            <w:pPr>
              <w:spacing w:line="240" w:lineRule="auto"/>
            </w:pPr>
            <w:r w:rsidRPr="00EA444B">
              <w:t>EPO</w:t>
            </w:r>
          </w:p>
        </w:tc>
        <w:tc>
          <w:tcPr>
            <w:tcW w:w="6800" w:type="dxa"/>
            <w:tcBorders>
              <w:top w:val="nil"/>
              <w:left w:val="nil"/>
              <w:bottom w:val="single" w:sz="4" w:space="0" w:color="auto"/>
              <w:right w:val="single" w:sz="4" w:space="0" w:color="auto"/>
            </w:tcBorders>
            <w:shd w:val="clear" w:color="auto" w:fill="auto"/>
            <w:vAlign w:val="center"/>
            <w:hideMark/>
          </w:tcPr>
          <w:p w14:paraId="783E0393" w14:textId="006A3D73" w:rsidR="0053778B" w:rsidRPr="00EA444B" w:rsidRDefault="0053778B" w:rsidP="00940436">
            <w:pPr>
              <w:spacing w:line="240" w:lineRule="auto"/>
            </w:pPr>
            <w:r w:rsidRPr="00EA444B">
              <w:t>Education and Public Outreach</w:t>
            </w:r>
          </w:p>
        </w:tc>
      </w:tr>
      <w:tr w:rsidR="0053778B" w:rsidRPr="00EA444B" w14:paraId="33848759"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5341010" w14:textId="77777777" w:rsidR="0053778B" w:rsidRPr="00EA444B" w:rsidRDefault="0053778B" w:rsidP="00940436">
            <w:pPr>
              <w:spacing w:line="240" w:lineRule="auto"/>
            </w:pPr>
            <w:proofErr w:type="spellStart"/>
            <w:r w:rsidRPr="00EA444B">
              <w:t>EPSCoR</w:t>
            </w:r>
            <w:proofErr w:type="spellEnd"/>
          </w:p>
        </w:tc>
        <w:tc>
          <w:tcPr>
            <w:tcW w:w="6800" w:type="dxa"/>
            <w:tcBorders>
              <w:top w:val="nil"/>
              <w:left w:val="nil"/>
              <w:bottom w:val="single" w:sz="4" w:space="0" w:color="auto"/>
              <w:right w:val="single" w:sz="4" w:space="0" w:color="auto"/>
            </w:tcBorders>
            <w:shd w:val="clear" w:color="auto" w:fill="auto"/>
            <w:vAlign w:val="center"/>
            <w:hideMark/>
          </w:tcPr>
          <w:p w14:paraId="0958ECE3" w14:textId="77777777" w:rsidR="0053778B" w:rsidRPr="00EA444B" w:rsidRDefault="0053778B" w:rsidP="00940436">
            <w:pPr>
              <w:spacing w:line="240" w:lineRule="auto"/>
            </w:pPr>
            <w:r w:rsidRPr="00EA444B">
              <w:t>Experimental Program to Stimulate Competitive Research</w:t>
            </w:r>
          </w:p>
        </w:tc>
      </w:tr>
      <w:tr w:rsidR="0053778B" w:rsidRPr="00EA444B" w14:paraId="042FEBD4"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E4934B9" w14:textId="77777777" w:rsidR="0053778B" w:rsidRPr="00EA444B" w:rsidRDefault="0053778B" w:rsidP="00940436">
            <w:pPr>
              <w:spacing w:line="240" w:lineRule="auto"/>
            </w:pPr>
            <w:r w:rsidRPr="00EA444B">
              <w:t>ESS</w:t>
            </w:r>
          </w:p>
        </w:tc>
        <w:tc>
          <w:tcPr>
            <w:tcW w:w="6800" w:type="dxa"/>
            <w:tcBorders>
              <w:top w:val="nil"/>
              <w:left w:val="nil"/>
              <w:bottom w:val="single" w:sz="4" w:space="0" w:color="auto"/>
              <w:right w:val="single" w:sz="4" w:space="0" w:color="auto"/>
            </w:tcBorders>
            <w:shd w:val="clear" w:color="auto" w:fill="auto"/>
            <w:vAlign w:val="center"/>
            <w:hideMark/>
          </w:tcPr>
          <w:p w14:paraId="5978A3C7" w14:textId="77777777" w:rsidR="0053778B" w:rsidRPr="00EA444B" w:rsidRDefault="0053778B" w:rsidP="00940436">
            <w:pPr>
              <w:spacing w:line="240" w:lineRule="auto"/>
            </w:pPr>
            <w:r w:rsidRPr="00EA444B">
              <w:t>Earth/Space Sciences Passport</w:t>
            </w:r>
          </w:p>
        </w:tc>
      </w:tr>
      <w:tr w:rsidR="005E467E" w:rsidRPr="00EA444B" w14:paraId="2780F2DC"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6B191AA8" w14:textId="1190141B" w:rsidR="005E467E" w:rsidRPr="00EA444B" w:rsidRDefault="005E467E" w:rsidP="00940436">
            <w:pPr>
              <w:spacing w:line="240" w:lineRule="auto"/>
            </w:pPr>
            <w:r w:rsidRPr="00EA444B">
              <w:t>FAST</w:t>
            </w:r>
          </w:p>
        </w:tc>
        <w:tc>
          <w:tcPr>
            <w:tcW w:w="6800" w:type="dxa"/>
            <w:tcBorders>
              <w:top w:val="nil"/>
              <w:left w:val="nil"/>
              <w:bottom w:val="single" w:sz="4" w:space="0" w:color="auto"/>
              <w:right w:val="single" w:sz="4" w:space="0" w:color="auto"/>
            </w:tcBorders>
            <w:shd w:val="clear" w:color="auto" w:fill="auto"/>
            <w:vAlign w:val="center"/>
          </w:tcPr>
          <w:p w14:paraId="3D209F02" w14:textId="34AD8A84" w:rsidR="005E467E" w:rsidRPr="00EA444B" w:rsidRDefault="005E467E" w:rsidP="00940436">
            <w:pPr>
              <w:spacing w:line="240" w:lineRule="auto"/>
            </w:pPr>
            <w:r w:rsidRPr="00EA444B">
              <w:t>Five hundred meter Aperture Spherical Telescope, China</w:t>
            </w:r>
          </w:p>
        </w:tc>
      </w:tr>
      <w:tr w:rsidR="0053778B" w:rsidRPr="00EA444B" w14:paraId="5B1CE8A2"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10242" w14:textId="77777777" w:rsidR="0053778B" w:rsidRPr="00EA444B" w:rsidRDefault="0053778B" w:rsidP="00940436">
            <w:pPr>
              <w:spacing w:line="240" w:lineRule="auto"/>
            </w:pPr>
            <w:r w:rsidRPr="00EA444B">
              <w:t>FCC</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084A1" w14:textId="77777777" w:rsidR="0053778B" w:rsidRPr="00EA444B" w:rsidRDefault="0053778B" w:rsidP="00940436">
            <w:pPr>
              <w:spacing w:line="240" w:lineRule="auto"/>
            </w:pPr>
            <w:r w:rsidRPr="00EA444B">
              <w:t>Federal Communications Commission</w:t>
            </w:r>
          </w:p>
        </w:tc>
      </w:tr>
      <w:tr w:rsidR="0047639F" w:rsidRPr="00EA444B" w14:paraId="16C3F8B6"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A418C53" w14:textId="69005627" w:rsidR="0047639F" w:rsidRPr="00EA444B" w:rsidRDefault="0047639F" w:rsidP="00940436">
            <w:pPr>
              <w:spacing w:line="240" w:lineRule="auto"/>
            </w:pPr>
            <w:r w:rsidRPr="00EA444B">
              <w:t>FIRST2</w:t>
            </w:r>
          </w:p>
        </w:tc>
        <w:tc>
          <w:tcPr>
            <w:tcW w:w="6800" w:type="dxa"/>
            <w:tcBorders>
              <w:top w:val="single" w:sz="4" w:space="0" w:color="auto"/>
              <w:left w:val="nil"/>
              <w:bottom w:val="single" w:sz="4" w:space="0" w:color="auto"/>
              <w:right w:val="single" w:sz="4" w:space="0" w:color="auto"/>
            </w:tcBorders>
            <w:shd w:val="clear" w:color="auto" w:fill="auto"/>
            <w:noWrap/>
            <w:vAlign w:val="center"/>
          </w:tcPr>
          <w:p w14:paraId="0FB1101E" w14:textId="22387C5C" w:rsidR="0047639F" w:rsidRPr="00EA444B" w:rsidRDefault="0047639F" w:rsidP="00940436">
            <w:pPr>
              <w:spacing w:line="240" w:lineRule="auto"/>
            </w:pPr>
            <w:r w:rsidRPr="00EA444B">
              <w:t>NSF INCLUDES</w:t>
            </w:r>
            <w:r w:rsidR="007556F1" w:rsidRPr="00EA444B">
              <w:t xml:space="preserve">: First Two Years of College Student </w:t>
            </w:r>
            <w:r w:rsidRPr="00EA444B">
              <w:t>Success Network</w:t>
            </w:r>
          </w:p>
        </w:tc>
      </w:tr>
      <w:tr w:rsidR="0053778B" w:rsidRPr="00EA444B" w14:paraId="3C583CCE"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3999D2F" w14:textId="77777777" w:rsidR="0053778B" w:rsidRPr="00EA444B" w:rsidRDefault="0053778B" w:rsidP="00940436">
            <w:pPr>
              <w:spacing w:line="240" w:lineRule="auto"/>
            </w:pPr>
            <w:r w:rsidRPr="00EA444B">
              <w:t>FITS</w:t>
            </w:r>
          </w:p>
        </w:tc>
        <w:tc>
          <w:tcPr>
            <w:tcW w:w="6800" w:type="dxa"/>
            <w:tcBorders>
              <w:top w:val="single" w:sz="4" w:space="0" w:color="auto"/>
              <w:left w:val="nil"/>
              <w:bottom w:val="single" w:sz="4" w:space="0" w:color="auto"/>
              <w:right w:val="single" w:sz="4" w:space="0" w:color="auto"/>
            </w:tcBorders>
            <w:shd w:val="clear" w:color="auto" w:fill="auto"/>
            <w:noWrap/>
            <w:vAlign w:val="center"/>
            <w:hideMark/>
          </w:tcPr>
          <w:p w14:paraId="372FB5A5" w14:textId="77777777" w:rsidR="0053778B" w:rsidRPr="00EA444B" w:rsidRDefault="0053778B" w:rsidP="00940436">
            <w:pPr>
              <w:spacing w:line="240" w:lineRule="auto"/>
            </w:pPr>
            <w:r w:rsidRPr="00EA444B">
              <w:t>Flexible Image Transport System</w:t>
            </w:r>
          </w:p>
        </w:tc>
      </w:tr>
      <w:tr w:rsidR="00334960" w:rsidRPr="00EA444B" w14:paraId="2796E29F"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02177B7" w14:textId="61767E5E" w:rsidR="00334960" w:rsidRPr="00EA444B" w:rsidRDefault="00334960" w:rsidP="00940436">
            <w:pPr>
              <w:spacing w:line="240" w:lineRule="auto"/>
            </w:pPr>
            <w:r w:rsidRPr="00EA444B">
              <w:t>FLAG</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tcPr>
          <w:p w14:paraId="3EFA68E5" w14:textId="19DABA30" w:rsidR="00334960" w:rsidRPr="00EA444B" w:rsidRDefault="00334960" w:rsidP="00940436">
            <w:pPr>
              <w:spacing w:line="240" w:lineRule="auto"/>
            </w:pPr>
            <w:r w:rsidRPr="00EA444B">
              <w:t>Focal L-band Array for the Green Bank Telescope</w:t>
            </w:r>
          </w:p>
        </w:tc>
      </w:tr>
      <w:tr w:rsidR="00334960" w:rsidRPr="00EA444B" w14:paraId="7E8399EB"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419062D" w14:textId="77257556" w:rsidR="00334960" w:rsidRPr="00EA444B" w:rsidRDefault="00334960" w:rsidP="00940436">
            <w:pPr>
              <w:spacing w:line="240" w:lineRule="auto"/>
            </w:pPr>
            <w:r w:rsidRPr="00EA444B">
              <w:t>FPGA</w:t>
            </w:r>
          </w:p>
        </w:tc>
        <w:tc>
          <w:tcPr>
            <w:tcW w:w="6800" w:type="dxa"/>
            <w:tcBorders>
              <w:top w:val="single" w:sz="4" w:space="0" w:color="auto"/>
              <w:left w:val="nil"/>
              <w:bottom w:val="single" w:sz="4" w:space="0" w:color="auto"/>
              <w:right w:val="single" w:sz="4" w:space="0" w:color="auto"/>
            </w:tcBorders>
            <w:shd w:val="clear" w:color="auto" w:fill="auto"/>
            <w:vAlign w:val="center"/>
          </w:tcPr>
          <w:p w14:paraId="4F0E9C00" w14:textId="73136365" w:rsidR="00334960" w:rsidRPr="00EA444B" w:rsidRDefault="00334960" w:rsidP="00940436">
            <w:pPr>
              <w:spacing w:line="240" w:lineRule="auto"/>
            </w:pPr>
            <w:r w:rsidRPr="00EA444B">
              <w:t>Field-Programmable Gate Array</w:t>
            </w:r>
          </w:p>
        </w:tc>
      </w:tr>
      <w:tr w:rsidR="00334960" w:rsidRPr="00EA444B" w14:paraId="2BF47370" w14:textId="77777777" w:rsidTr="00EE4307">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DC0611A" w14:textId="49D8FCF9" w:rsidR="00334960" w:rsidRPr="00EA444B" w:rsidRDefault="00334960" w:rsidP="00940436">
            <w:pPr>
              <w:spacing w:line="240" w:lineRule="auto"/>
            </w:pPr>
            <w:r w:rsidRPr="00EA444B">
              <w:t>FRB</w:t>
            </w:r>
          </w:p>
        </w:tc>
        <w:tc>
          <w:tcPr>
            <w:tcW w:w="6800" w:type="dxa"/>
            <w:tcBorders>
              <w:top w:val="single" w:sz="4" w:space="0" w:color="auto"/>
              <w:left w:val="nil"/>
              <w:bottom w:val="single" w:sz="4" w:space="0" w:color="auto"/>
              <w:right w:val="single" w:sz="4" w:space="0" w:color="auto"/>
            </w:tcBorders>
            <w:shd w:val="clear" w:color="auto" w:fill="auto"/>
            <w:vAlign w:val="center"/>
          </w:tcPr>
          <w:p w14:paraId="7859E6B4" w14:textId="246DA9DC" w:rsidR="00334960" w:rsidRPr="00EA444B" w:rsidRDefault="00334960" w:rsidP="00940436">
            <w:pPr>
              <w:spacing w:line="240" w:lineRule="auto"/>
            </w:pPr>
            <w:r w:rsidRPr="00EA444B">
              <w:t>Fast Radio Burst</w:t>
            </w:r>
          </w:p>
        </w:tc>
      </w:tr>
      <w:tr w:rsidR="0053778B" w:rsidRPr="00EA444B" w14:paraId="674D9E59"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0C7E6" w14:textId="463CFFED" w:rsidR="0053778B" w:rsidRPr="00EA444B" w:rsidRDefault="0053778B" w:rsidP="00940436">
            <w:pPr>
              <w:spacing w:line="240" w:lineRule="auto"/>
            </w:pPr>
            <w:r w:rsidRPr="00EA444B">
              <w:t>FRM</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0181B01B" w14:textId="77777777" w:rsidR="0053778B" w:rsidRPr="00EA444B" w:rsidRDefault="0053778B" w:rsidP="00940436">
            <w:pPr>
              <w:spacing w:line="240" w:lineRule="auto"/>
            </w:pPr>
            <w:r w:rsidRPr="00EA444B">
              <w:t>Focus Rotation Mount</w:t>
            </w:r>
          </w:p>
        </w:tc>
      </w:tr>
      <w:tr w:rsidR="0053778B" w:rsidRPr="00EA444B" w14:paraId="0926AE6B"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0B26C" w14:textId="77777777" w:rsidR="0053778B" w:rsidRPr="00EA444B" w:rsidRDefault="0053778B" w:rsidP="00940436">
            <w:pPr>
              <w:spacing w:line="240" w:lineRule="auto"/>
            </w:pPr>
            <w:r w:rsidRPr="00EA444B">
              <w:t>FTE</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9A25E" w14:textId="77777777" w:rsidR="0053778B" w:rsidRPr="00EA444B" w:rsidRDefault="0053778B" w:rsidP="00940436">
            <w:pPr>
              <w:spacing w:line="240" w:lineRule="auto"/>
            </w:pPr>
            <w:r w:rsidRPr="00EA444B">
              <w:t>Full-Time Equivalent</w:t>
            </w:r>
          </w:p>
        </w:tc>
      </w:tr>
      <w:tr w:rsidR="0053778B" w:rsidRPr="00EA444B" w14:paraId="6B908AEC"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DF02D" w14:textId="77777777" w:rsidR="0053778B" w:rsidRPr="00EA444B" w:rsidRDefault="0053778B" w:rsidP="00940436">
            <w:pPr>
              <w:spacing w:line="240" w:lineRule="auto"/>
            </w:pPr>
            <w:r w:rsidRPr="00EA444B">
              <w:t>FY</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47F3B5C1" w14:textId="77777777" w:rsidR="0053778B" w:rsidRPr="00EA444B" w:rsidRDefault="0053778B" w:rsidP="00940436">
            <w:pPr>
              <w:spacing w:line="240" w:lineRule="auto"/>
            </w:pPr>
            <w:r w:rsidRPr="00EA444B">
              <w:t>Fiscal Year</w:t>
            </w:r>
          </w:p>
        </w:tc>
      </w:tr>
      <w:tr w:rsidR="0053778B" w:rsidRPr="00EA444B" w14:paraId="3359F8FC"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32E6976" w14:textId="77777777" w:rsidR="0053778B" w:rsidRPr="00EA444B" w:rsidRDefault="0053778B" w:rsidP="00940436">
            <w:pPr>
              <w:spacing w:line="240" w:lineRule="auto"/>
            </w:pPr>
            <w:r w:rsidRPr="00EA444B">
              <w:t>GBO</w:t>
            </w:r>
          </w:p>
        </w:tc>
        <w:tc>
          <w:tcPr>
            <w:tcW w:w="6800" w:type="dxa"/>
            <w:tcBorders>
              <w:top w:val="nil"/>
              <w:left w:val="nil"/>
              <w:bottom w:val="single" w:sz="4" w:space="0" w:color="auto"/>
              <w:right w:val="single" w:sz="4" w:space="0" w:color="auto"/>
            </w:tcBorders>
            <w:shd w:val="clear" w:color="auto" w:fill="auto"/>
            <w:vAlign w:val="center"/>
            <w:hideMark/>
          </w:tcPr>
          <w:p w14:paraId="469092BB" w14:textId="77777777" w:rsidR="0053778B" w:rsidRPr="00EA444B" w:rsidRDefault="0053778B" w:rsidP="00940436">
            <w:pPr>
              <w:spacing w:line="240" w:lineRule="auto"/>
            </w:pPr>
            <w:r w:rsidRPr="00EA444B">
              <w:t>Green Bank Observatory</w:t>
            </w:r>
          </w:p>
        </w:tc>
      </w:tr>
      <w:tr w:rsidR="00F808D7" w:rsidRPr="00EA444B" w14:paraId="5391DEE5"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424426EC" w14:textId="44580C76" w:rsidR="00F808D7" w:rsidRPr="00EA444B" w:rsidRDefault="00F808D7" w:rsidP="00940436">
            <w:pPr>
              <w:spacing w:line="240" w:lineRule="auto"/>
            </w:pPr>
            <w:r w:rsidRPr="00EA444B">
              <w:t>GBMF</w:t>
            </w:r>
          </w:p>
        </w:tc>
        <w:tc>
          <w:tcPr>
            <w:tcW w:w="6800" w:type="dxa"/>
            <w:tcBorders>
              <w:top w:val="nil"/>
              <w:left w:val="nil"/>
              <w:bottom w:val="single" w:sz="4" w:space="0" w:color="auto"/>
              <w:right w:val="single" w:sz="4" w:space="0" w:color="auto"/>
            </w:tcBorders>
            <w:shd w:val="clear" w:color="auto" w:fill="auto"/>
            <w:vAlign w:val="center"/>
          </w:tcPr>
          <w:p w14:paraId="4B95F982" w14:textId="4D397AF2" w:rsidR="00F808D7" w:rsidRPr="00EA444B" w:rsidRDefault="00F808D7" w:rsidP="00940436">
            <w:pPr>
              <w:spacing w:line="240" w:lineRule="auto"/>
            </w:pPr>
            <w:r w:rsidRPr="00EA444B">
              <w:t>Gordon and Betty Moore Foundation</w:t>
            </w:r>
          </w:p>
        </w:tc>
      </w:tr>
      <w:tr w:rsidR="0053778B" w:rsidRPr="00EA444B" w14:paraId="294715A1"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DB1A85A" w14:textId="77777777" w:rsidR="0053778B" w:rsidRPr="00EA444B" w:rsidRDefault="0053778B" w:rsidP="00940436">
            <w:pPr>
              <w:spacing w:line="240" w:lineRule="auto"/>
            </w:pPr>
            <w:r w:rsidRPr="00EA444B">
              <w:t>GBSE</w:t>
            </w:r>
          </w:p>
        </w:tc>
        <w:tc>
          <w:tcPr>
            <w:tcW w:w="6800" w:type="dxa"/>
            <w:tcBorders>
              <w:top w:val="nil"/>
              <w:left w:val="nil"/>
              <w:bottom w:val="single" w:sz="4" w:space="0" w:color="auto"/>
              <w:right w:val="single" w:sz="4" w:space="0" w:color="auto"/>
            </w:tcBorders>
            <w:shd w:val="clear" w:color="auto" w:fill="auto"/>
            <w:vAlign w:val="center"/>
            <w:hideMark/>
          </w:tcPr>
          <w:p w14:paraId="43943F24" w14:textId="77777777" w:rsidR="0053778B" w:rsidRPr="00EA444B" w:rsidRDefault="0053778B" w:rsidP="00940436">
            <w:pPr>
              <w:spacing w:line="240" w:lineRule="auto"/>
            </w:pPr>
            <w:r w:rsidRPr="00EA444B">
              <w:t>Green Bank Session Editor</w:t>
            </w:r>
          </w:p>
        </w:tc>
      </w:tr>
      <w:tr w:rsidR="0053778B" w:rsidRPr="00EA444B" w14:paraId="12DE1BF0"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7159B41" w14:textId="77777777" w:rsidR="0053778B" w:rsidRPr="00EA444B" w:rsidRDefault="0053778B" w:rsidP="00940436">
            <w:pPr>
              <w:spacing w:line="240" w:lineRule="auto"/>
            </w:pPr>
            <w:r w:rsidRPr="00EA444B">
              <w:t>GBT</w:t>
            </w:r>
          </w:p>
        </w:tc>
        <w:tc>
          <w:tcPr>
            <w:tcW w:w="6800" w:type="dxa"/>
            <w:tcBorders>
              <w:top w:val="nil"/>
              <w:left w:val="nil"/>
              <w:bottom w:val="single" w:sz="4" w:space="0" w:color="auto"/>
              <w:right w:val="single" w:sz="4" w:space="0" w:color="auto"/>
            </w:tcBorders>
            <w:shd w:val="clear" w:color="auto" w:fill="auto"/>
            <w:vAlign w:val="center"/>
            <w:hideMark/>
          </w:tcPr>
          <w:p w14:paraId="02F1D752" w14:textId="77777777" w:rsidR="0053778B" w:rsidRPr="00EA444B" w:rsidRDefault="0053778B" w:rsidP="00940436">
            <w:pPr>
              <w:spacing w:line="240" w:lineRule="auto"/>
            </w:pPr>
            <w:r w:rsidRPr="00EA444B">
              <w:t>Green Bank Telescope</w:t>
            </w:r>
          </w:p>
        </w:tc>
      </w:tr>
      <w:tr w:rsidR="0053778B" w:rsidRPr="00EA444B" w14:paraId="0C92A73D"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DE2940A" w14:textId="77777777" w:rsidR="0053778B" w:rsidRPr="00EA444B" w:rsidRDefault="0053778B" w:rsidP="00940436">
            <w:pPr>
              <w:spacing w:line="240" w:lineRule="auto"/>
            </w:pPr>
            <w:r w:rsidRPr="00EA444B">
              <w:t>GBTIDL</w:t>
            </w:r>
          </w:p>
        </w:tc>
        <w:tc>
          <w:tcPr>
            <w:tcW w:w="6800" w:type="dxa"/>
            <w:tcBorders>
              <w:top w:val="nil"/>
              <w:left w:val="nil"/>
              <w:bottom w:val="single" w:sz="4" w:space="0" w:color="auto"/>
              <w:right w:val="single" w:sz="4" w:space="0" w:color="auto"/>
            </w:tcBorders>
            <w:shd w:val="clear" w:color="auto" w:fill="auto"/>
            <w:vAlign w:val="center"/>
            <w:hideMark/>
          </w:tcPr>
          <w:p w14:paraId="285629E9" w14:textId="77777777" w:rsidR="0053778B" w:rsidRPr="00EA444B" w:rsidRDefault="0053778B" w:rsidP="00940436">
            <w:pPr>
              <w:spacing w:line="240" w:lineRule="auto"/>
            </w:pPr>
            <w:r w:rsidRPr="00EA444B">
              <w:t>Green Bank Telescope Interactive Data Language</w:t>
            </w:r>
          </w:p>
        </w:tc>
      </w:tr>
      <w:tr w:rsidR="0053778B" w:rsidRPr="00EA444B" w14:paraId="47B60504"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1268F99" w14:textId="77777777" w:rsidR="0053778B" w:rsidRPr="00EA444B" w:rsidRDefault="0053778B" w:rsidP="00940436">
            <w:pPr>
              <w:spacing w:line="240" w:lineRule="auto"/>
            </w:pPr>
            <w:r w:rsidRPr="00EA444B">
              <w:t>GHz</w:t>
            </w:r>
          </w:p>
        </w:tc>
        <w:tc>
          <w:tcPr>
            <w:tcW w:w="6800" w:type="dxa"/>
            <w:tcBorders>
              <w:top w:val="nil"/>
              <w:left w:val="nil"/>
              <w:bottom w:val="single" w:sz="4" w:space="0" w:color="auto"/>
              <w:right w:val="single" w:sz="4" w:space="0" w:color="auto"/>
            </w:tcBorders>
            <w:shd w:val="clear" w:color="auto" w:fill="auto"/>
            <w:vAlign w:val="center"/>
            <w:hideMark/>
          </w:tcPr>
          <w:p w14:paraId="6F5FC283" w14:textId="77777777" w:rsidR="0053778B" w:rsidRPr="00EA444B" w:rsidRDefault="0053778B" w:rsidP="00940436">
            <w:pPr>
              <w:spacing w:line="240" w:lineRule="auto"/>
            </w:pPr>
            <w:r w:rsidRPr="00EA444B">
              <w:t>Gigahertz</w:t>
            </w:r>
          </w:p>
        </w:tc>
      </w:tr>
      <w:tr w:rsidR="0053778B" w:rsidRPr="00EA444B" w14:paraId="726A8AD0"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CEB33CF" w14:textId="77777777" w:rsidR="0053778B" w:rsidRPr="00EA444B" w:rsidRDefault="0053778B" w:rsidP="00940436">
            <w:pPr>
              <w:spacing w:line="240" w:lineRule="auto"/>
            </w:pPr>
            <w:r w:rsidRPr="00EA444B">
              <w:t>GLOBE</w:t>
            </w:r>
          </w:p>
        </w:tc>
        <w:tc>
          <w:tcPr>
            <w:tcW w:w="6800" w:type="dxa"/>
            <w:tcBorders>
              <w:top w:val="single" w:sz="4" w:space="0" w:color="auto"/>
              <w:left w:val="nil"/>
              <w:bottom w:val="single" w:sz="4" w:space="0" w:color="auto"/>
              <w:right w:val="single" w:sz="4" w:space="0" w:color="auto"/>
            </w:tcBorders>
            <w:shd w:val="clear" w:color="auto" w:fill="auto"/>
            <w:noWrap/>
            <w:vAlign w:val="center"/>
            <w:hideMark/>
          </w:tcPr>
          <w:p w14:paraId="562F5F5E" w14:textId="77777777" w:rsidR="0053778B" w:rsidRPr="00EA444B" w:rsidRDefault="0053778B" w:rsidP="00940436">
            <w:pPr>
              <w:spacing w:line="240" w:lineRule="auto"/>
            </w:pPr>
            <w:r w:rsidRPr="00EA444B">
              <w:t xml:space="preserve">Global Learning and Observation to Benefit the Environment </w:t>
            </w:r>
          </w:p>
        </w:tc>
      </w:tr>
      <w:tr w:rsidR="0053778B" w:rsidRPr="00EA444B" w14:paraId="7769C318"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C5C3C74" w14:textId="77777777" w:rsidR="0053778B" w:rsidRPr="00EA444B" w:rsidRDefault="0053778B" w:rsidP="00940436">
            <w:pPr>
              <w:spacing w:line="240" w:lineRule="auto"/>
            </w:pPr>
            <w:r w:rsidRPr="00EA444B">
              <w:lastRenderedPageBreak/>
              <w:t>GMVA</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798827BF" w14:textId="77777777" w:rsidR="0053778B" w:rsidRPr="00EA444B" w:rsidRDefault="0053778B" w:rsidP="00940436">
            <w:pPr>
              <w:spacing w:line="240" w:lineRule="auto"/>
            </w:pPr>
            <w:r w:rsidRPr="00EA444B">
              <w:t>Global VLBI Millimeter Array</w:t>
            </w:r>
          </w:p>
        </w:tc>
      </w:tr>
      <w:tr w:rsidR="0053778B" w:rsidRPr="00EA444B" w14:paraId="19218BD3"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F540E2B" w14:textId="77777777" w:rsidR="0053778B" w:rsidRPr="00EA444B" w:rsidRDefault="0053778B" w:rsidP="00940436">
            <w:pPr>
              <w:spacing w:line="240" w:lineRule="auto"/>
            </w:pPr>
            <w:r w:rsidRPr="00EA444B">
              <w:t>GO</w:t>
            </w:r>
          </w:p>
        </w:tc>
        <w:tc>
          <w:tcPr>
            <w:tcW w:w="6800" w:type="dxa"/>
            <w:tcBorders>
              <w:top w:val="nil"/>
              <w:left w:val="nil"/>
              <w:bottom w:val="single" w:sz="4" w:space="0" w:color="auto"/>
              <w:right w:val="single" w:sz="4" w:space="0" w:color="auto"/>
            </w:tcBorders>
            <w:shd w:val="clear" w:color="auto" w:fill="auto"/>
            <w:vAlign w:val="center"/>
            <w:hideMark/>
          </w:tcPr>
          <w:p w14:paraId="66B06BB9" w14:textId="77777777" w:rsidR="0053778B" w:rsidRPr="00EA444B" w:rsidRDefault="0053778B" w:rsidP="00940436">
            <w:pPr>
              <w:spacing w:line="240" w:lineRule="auto"/>
            </w:pPr>
            <w:r w:rsidRPr="00EA444B">
              <w:t>General Observing</w:t>
            </w:r>
          </w:p>
        </w:tc>
      </w:tr>
      <w:tr w:rsidR="0053778B" w:rsidRPr="00EA444B" w14:paraId="735D9B95"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6FDDB8B" w14:textId="77777777" w:rsidR="0053778B" w:rsidRPr="00EA444B" w:rsidRDefault="0053778B" w:rsidP="00940436">
            <w:pPr>
              <w:spacing w:line="240" w:lineRule="auto"/>
            </w:pPr>
            <w:r w:rsidRPr="00EA444B">
              <w:t>GPS</w:t>
            </w:r>
          </w:p>
        </w:tc>
        <w:tc>
          <w:tcPr>
            <w:tcW w:w="6800" w:type="dxa"/>
            <w:tcBorders>
              <w:top w:val="nil"/>
              <w:left w:val="nil"/>
              <w:bottom w:val="single" w:sz="4" w:space="0" w:color="auto"/>
              <w:right w:val="single" w:sz="4" w:space="0" w:color="auto"/>
            </w:tcBorders>
            <w:shd w:val="clear" w:color="auto" w:fill="auto"/>
            <w:vAlign w:val="center"/>
            <w:hideMark/>
          </w:tcPr>
          <w:p w14:paraId="43DC3EAF" w14:textId="77777777" w:rsidR="0053778B" w:rsidRPr="00EA444B" w:rsidRDefault="0053778B" w:rsidP="00940436">
            <w:pPr>
              <w:spacing w:line="240" w:lineRule="auto"/>
            </w:pPr>
            <w:r w:rsidRPr="00EA444B">
              <w:t>Global Positioning System</w:t>
            </w:r>
          </w:p>
        </w:tc>
      </w:tr>
      <w:tr w:rsidR="0053778B" w:rsidRPr="00EA444B" w14:paraId="00E2006D"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926A56D" w14:textId="77777777" w:rsidR="0053778B" w:rsidRPr="00EA444B" w:rsidRDefault="0053778B" w:rsidP="00940436">
            <w:pPr>
              <w:spacing w:line="240" w:lineRule="auto"/>
            </w:pPr>
            <w:r w:rsidRPr="00EA444B">
              <w:t>GPU</w:t>
            </w:r>
          </w:p>
        </w:tc>
        <w:tc>
          <w:tcPr>
            <w:tcW w:w="6800" w:type="dxa"/>
            <w:tcBorders>
              <w:top w:val="nil"/>
              <w:left w:val="nil"/>
              <w:bottom w:val="single" w:sz="4" w:space="0" w:color="auto"/>
              <w:right w:val="single" w:sz="4" w:space="0" w:color="auto"/>
            </w:tcBorders>
            <w:shd w:val="clear" w:color="auto" w:fill="auto"/>
            <w:vAlign w:val="center"/>
            <w:hideMark/>
          </w:tcPr>
          <w:p w14:paraId="0AA54202" w14:textId="77777777" w:rsidR="0053778B" w:rsidRPr="00EA444B" w:rsidRDefault="0053778B" w:rsidP="00940436">
            <w:pPr>
              <w:spacing w:line="240" w:lineRule="auto"/>
            </w:pPr>
            <w:r w:rsidRPr="00EA444B">
              <w:t>Graphical Processing Unit</w:t>
            </w:r>
          </w:p>
        </w:tc>
      </w:tr>
      <w:tr w:rsidR="0053778B" w:rsidRPr="00EA444B" w14:paraId="20A9CAFD"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93703D3" w14:textId="77777777" w:rsidR="0053778B" w:rsidRPr="00EA444B" w:rsidRDefault="0053778B" w:rsidP="00940436">
            <w:pPr>
              <w:spacing w:line="240" w:lineRule="auto"/>
            </w:pPr>
            <w:r w:rsidRPr="00EA444B">
              <w:t>GRB</w:t>
            </w:r>
          </w:p>
        </w:tc>
        <w:tc>
          <w:tcPr>
            <w:tcW w:w="6800" w:type="dxa"/>
            <w:tcBorders>
              <w:top w:val="nil"/>
              <w:left w:val="nil"/>
              <w:bottom w:val="single" w:sz="4" w:space="0" w:color="auto"/>
              <w:right w:val="single" w:sz="4" w:space="0" w:color="auto"/>
            </w:tcBorders>
            <w:shd w:val="clear" w:color="auto" w:fill="auto"/>
            <w:vAlign w:val="center"/>
            <w:hideMark/>
          </w:tcPr>
          <w:p w14:paraId="4E9AB8A1" w14:textId="77777777" w:rsidR="0053778B" w:rsidRPr="00EA444B" w:rsidRDefault="0053778B" w:rsidP="00940436">
            <w:pPr>
              <w:spacing w:line="240" w:lineRule="auto"/>
            </w:pPr>
            <w:r w:rsidRPr="00EA444B">
              <w:t>Gamma Ray Burst</w:t>
            </w:r>
          </w:p>
        </w:tc>
      </w:tr>
      <w:tr w:rsidR="00DC5809" w:rsidRPr="00EA444B" w14:paraId="617BBFA0"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1C405C36" w14:textId="3C8F4F8F" w:rsidR="00DC5809" w:rsidRPr="00EA444B" w:rsidRDefault="00DC5809" w:rsidP="00940436">
            <w:pPr>
              <w:spacing w:line="240" w:lineRule="auto"/>
            </w:pPr>
            <w:r w:rsidRPr="00EA444B">
              <w:t>GSA</w:t>
            </w:r>
          </w:p>
        </w:tc>
        <w:tc>
          <w:tcPr>
            <w:tcW w:w="6800" w:type="dxa"/>
            <w:tcBorders>
              <w:top w:val="nil"/>
              <w:left w:val="nil"/>
              <w:bottom w:val="single" w:sz="4" w:space="0" w:color="auto"/>
              <w:right w:val="single" w:sz="4" w:space="0" w:color="auto"/>
            </w:tcBorders>
            <w:shd w:val="clear" w:color="auto" w:fill="auto"/>
            <w:vAlign w:val="center"/>
          </w:tcPr>
          <w:p w14:paraId="6C1E4CF8" w14:textId="7AB94488" w:rsidR="00DC5809" w:rsidRPr="00EA444B" w:rsidRDefault="00DC5809" w:rsidP="00940436">
            <w:pPr>
              <w:spacing w:line="240" w:lineRule="auto"/>
            </w:pPr>
            <w:r w:rsidRPr="00EA444B">
              <w:t>General Services Administration</w:t>
            </w:r>
          </w:p>
        </w:tc>
      </w:tr>
      <w:tr w:rsidR="00741C06" w:rsidRPr="00EA444B" w14:paraId="0D1E0E7A"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0ADD66E5" w14:textId="2446E7A4" w:rsidR="00741C06" w:rsidRPr="00EA444B" w:rsidRDefault="00741C06" w:rsidP="00940436">
            <w:pPr>
              <w:spacing w:line="240" w:lineRule="auto"/>
            </w:pPr>
            <w:r w:rsidRPr="00EA444B">
              <w:t>GSI</w:t>
            </w:r>
          </w:p>
        </w:tc>
        <w:tc>
          <w:tcPr>
            <w:tcW w:w="6800" w:type="dxa"/>
            <w:tcBorders>
              <w:top w:val="nil"/>
              <w:left w:val="nil"/>
              <w:bottom w:val="single" w:sz="4" w:space="0" w:color="auto"/>
              <w:right w:val="single" w:sz="4" w:space="0" w:color="auto"/>
            </w:tcBorders>
            <w:shd w:val="clear" w:color="auto" w:fill="auto"/>
            <w:vAlign w:val="center"/>
          </w:tcPr>
          <w:p w14:paraId="6AC11A62" w14:textId="77DD4DC9" w:rsidR="00741C06" w:rsidRPr="00EA444B" w:rsidRDefault="00741C06" w:rsidP="00940436">
            <w:pPr>
              <w:spacing w:line="240" w:lineRule="auto"/>
            </w:pPr>
            <w:r w:rsidRPr="00EA444B">
              <w:t>Governor’s STEM Institute</w:t>
            </w:r>
          </w:p>
        </w:tc>
      </w:tr>
      <w:tr w:rsidR="00334960" w:rsidRPr="00EA444B" w14:paraId="003FA2E6" w14:textId="77777777" w:rsidTr="00213DD5">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045D3ED0" w14:textId="219CD6FF" w:rsidR="00334960" w:rsidRPr="00EA444B" w:rsidRDefault="00334960" w:rsidP="00940436">
            <w:pPr>
              <w:spacing w:line="240" w:lineRule="auto"/>
            </w:pPr>
            <w:r w:rsidRPr="00EA444B">
              <w:t>GW</w:t>
            </w:r>
          </w:p>
        </w:tc>
        <w:tc>
          <w:tcPr>
            <w:tcW w:w="6800" w:type="dxa"/>
            <w:tcBorders>
              <w:top w:val="nil"/>
              <w:left w:val="nil"/>
              <w:bottom w:val="single" w:sz="4" w:space="0" w:color="auto"/>
              <w:right w:val="single" w:sz="4" w:space="0" w:color="auto"/>
            </w:tcBorders>
            <w:shd w:val="clear" w:color="auto" w:fill="auto"/>
            <w:vAlign w:val="center"/>
          </w:tcPr>
          <w:p w14:paraId="083F5229" w14:textId="3C1AA3B8" w:rsidR="00334960" w:rsidRPr="00EA444B" w:rsidRDefault="00334960" w:rsidP="00940436">
            <w:pPr>
              <w:spacing w:line="240" w:lineRule="auto"/>
            </w:pPr>
            <w:r w:rsidRPr="00EA444B">
              <w:t>Gravitational Wave</w:t>
            </w:r>
          </w:p>
        </w:tc>
      </w:tr>
      <w:tr w:rsidR="0053778B" w:rsidRPr="00EA444B" w14:paraId="2DD5435F" w14:textId="77777777" w:rsidTr="00213DD5">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CFEDD" w14:textId="77777777" w:rsidR="0053778B" w:rsidRPr="00EA444B" w:rsidRDefault="0053778B" w:rsidP="00940436">
            <w:pPr>
              <w:spacing w:line="240" w:lineRule="auto"/>
            </w:pPr>
            <w:r w:rsidRPr="00EA444B">
              <w:t>HCN</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A2B8B" w14:textId="77777777" w:rsidR="0053778B" w:rsidRPr="00EA444B" w:rsidRDefault="0053778B" w:rsidP="00940436">
            <w:pPr>
              <w:spacing w:line="240" w:lineRule="auto"/>
            </w:pPr>
            <w:r w:rsidRPr="00EA444B">
              <w:t>Hydrogen Cyanide</w:t>
            </w:r>
          </w:p>
        </w:tc>
      </w:tr>
      <w:tr w:rsidR="0053778B" w:rsidRPr="00EA444B" w14:paraId="6EFF434F" w14:textId="77777777" w:rsidTr="00213DD5">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65F1D" w14:textId="77777777" w:rsidR="0053778B" w:rsidRPr="00EA444B" w:rsidRDefault="0053778B" w:rsidP="00940436">
            <w:pPr>
              <w:spacing w:line="240" w:lineRule="auto"/>
            </w:pPr>
            <w:r w:rsidRPr="00EA444B">
              <w:t>HERA</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62FBBFF0" w14:textId="77777777" w:rsidR="0053778B" w:rsidRPr="00EA444B" w:rsidRDefault="0053778B" w:rsidP="00940436">
            <w:pPr>
              <w:spacing w:line="240" w:lineRule="auto"/>
            </w:pPr>
            <w:r w:rsidRPr="00EA444B">
              <w:t>Hydrogen Epoch of Reionization Array</w:t>
            </w:r>
          </w:p>
        </w:tc>
      </w:tr>
      <w:tr w:rsidR="0053778B" w:rsidRPr="00EA444B" w14:paraId="386960D8"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1C627D5" w14:textId="77777777" w:rsidR="0053778B" w:rsidRPr="00EA444B" w:rsidRDefault="0053778B" w:rsidP="00940436">
            <w:pPr>
              <w:spacing w:line="240" w:lineRule="auto"/>
            </w:pPr>
            <w:r w:rsidRPr="00EA444B">
              <w:t>HFET</w:t>
            </w:r>
          </w:p>
        </w:tc>
        <w:tc>
          <w:tcPr>
            <w:tcW w:w="6800" w:type="dxa"/>
            <w:tcBorders>
              <w:top w:val="nil"/>
              <w:left w:val="nil"/>
              <w:bottom w:val="single" w:sz="4" w:space="0" w:color="auto"/>
              <w:right w:val="single" w:sz="4" w:space="0" w:color="auto"/>
            </w:tcBorders>
            <w:shd w:val="clear" w:color="auto" w:fill="auto"/>
            <w:vAlign w:val="center"/>
            <w:hideMark/>
          </w:tcPr>
          <w:p w14:paraId="39F2F337" w14:textId="77777777" w:rsidR="0053778B" w:rsidRPr="00EA444B" w:rsidRDefault="0053778B" w:rsidP="00940436">
            <w:pPr>
              <w:spacing w:line="240" w:lineRule="auto"/>
            </w:pPr>
            <w:r w:rsidRPr="00EA444B">
              <w:t>Heterojunction Field-Effect Transistor</w:t>
            </w:r>
          </w:p>
        </w:tc>
      </w:tr>
      <w:tr w:rsidR="0053778B" w:rsidRPr="00EA444B" w14:paraId="1A729B2E"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DB50C78" w14:textId="77777777" w:rsidR="0053778B" w:rsidRPr="00EA444B" w:rsidRDefault="0053778B" w:rsidP="00940436">
            <w:pPr>
              <w:spacing w:line="240" w:lineRule="auto"/>
            </w:pPr>
            <w:r w:rsidRPr="00EA444B">
              <w:t>H1</w:t>
            </w:r>
          </w:p>
        </w:tc>
        <w:tc>
          <w:tcPr>
            <w:tcW w:w="6800" w:type="dxa"/>
            <w:tcBorders>
              <w:top w:val="nil"/>
              <w:left w:val="nil"/>
              <w:bottom w:val="single" w:sz="4" w:space="0" w:color="auto"/>
              <w:right w:val="single" w:sz="4" w:space="0" w:color="auto"/>
            </w:tcBorders>
            <w:shd w:val="clear" w:color="auto" w:fill="auto"/>
            <w:vAlign w:val="center"/>
            <w:hideMark/>
          </w:tcPr>
          <w:p w14:paraId="65AC34CD" w14:textId="77777777" w:rsidR="0053778B" w:rsidRPr="00EA444B" w:rsidRDefault="0053778B" w:rsidP="00940436">
            <w:pPr>
              <w:spacing w:line="240" w:lineRule="auto"/>
            </w:pPr>
            <w:r w:rsidRPr="00EA444B">
              <w:t>Hydrogen</w:t>
            </w:r>
          </w:p>
        </w:tc>
      </w:tr>
      <w:tr w:rsidR="0053778B" w:rsidRPr="00EA444B" w14:paraId="0492E234"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47EFF8E" w14:textId="77777777" w:rsidR="0053778B" w:rsidRPr="00EA444B" w:rsidRDefault="0053778B" w:rsidP="00940436">
            <w:pPr>
              <w:spacing w:line="240" w:lineRule="auto"/>
            </w:pPr>
            <w:r w:rsidRPr="00EA444B">
              <w:t>HSA</w:t>
            </w:r>
          </w:p>
        </w:tc>
        <w:tc>
          <w:tcPr>
            <w:tcW w:w="6800" w:type="dxa"/>
            <w:tcBorders>
              <w:top w:val="nil"/>
              <w:left w:val="nil"/>
              <w:bottom w:val="single" w:sz="4" w:space="0" w:color="auto"/>
              <w:right w:val="single" w:sz="4" w:space="0" w:color="auto"/>
            </w:tcBorders>
            <w:shd w:val="clear" w:color="auto" w:fill="auto"/>
            <w:vAlign w:val="center"/>
            <w:hideMark/>
          </w:tcPr>
          <w:p w14:paraId="471ED309" w14:textId="77777777" w:rsidR="0053778B" w:rsidRPr="00EA444B" w:rsidRDefault="0053778B" w:rsidP="00940436">
            <w:pPr>
              <w:spacing w:line="240" w:lineRule="auto"/>
            </w:pPr>
            <w:r w:rsidRPr="00EA444B">
              <w:t>High Sensitivity Array</w:t>
            </w:r>
          </w:p>
        </w:tc>
      </w:tr>
      <w:tr w:rsidR="0053778B" w:rsidRPr="00EA444B" w14:paraId="20B7340C"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1FCA7E1" w14:textId="77777777" w:rsidR="0053778B" w:rsidRPr="00EA444B" w:rsidRDefault="0053778B" w:rsidP="00940436">
            <w:pPr>
              <w:spacing w:line="240" w:lineRule="auto"/>
            </w:pPr>
            <w:r w:rsidRPr="00EA444B">
              <w:t>HVAC</w:t>
            </w:r>
          </w:p>
        </w:tc>
        <w:tc>
          <w:tcPr>
            <w:tcW w:w="6800" w:type="dxa"/>
            <w:tcBorders>
              <w:top w:val="nil"/>
              <w:left w:val="nil"/>
              <w:bottom w:val="single" w:sz="4" w:space="0" w:color="auto"/>
              <w:right w:val="single" w:sz="4" w:space="0" w:color="auto"/>
            </w:tcBorders>
            <w:shd w:val="clear" w:color="auto" w:fill="auto"/>
            <w:vAlign w:val="center"/>
            <w:hideMark/>
          </w:tcPr>
          <w:p w14:paraId="24C1250D" w14:textId="77777777" w:rsidR="0053778B" w:rsidRPr="00EA444B" w:rsidRDefault="0053778B" w:rsidP="00940436">
            <w:pPr>
              <w:spacing w:line="240" w:lineRule="auto"/>
            </w:pPr>
            <w:r w:rsidRPr="00EA444B">
              <w:t>Heating, Ventilation, and Air Conditioning</w:t>
            </w:r>
          </w:p>
        </w:tc>
      </w:tr>
      <w:tr w:rsidR="00704211" w:rsidRPr="00EA444B" w14:paraId="0A2F8EC6"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3B92D748" w14:textId="58F63FAE" w:rsidR="00704211" w:rsidRPr="00EA444B" w:rsidRDefault="00704211" w:rsidP="00940436">
            <w:pPr>
              <w:spacing w:line="240" w:lineRule="auto"/>
            </w:pPr>
            <w:r w:rsidRPr="00EA444B">
              <w:t>IAU</w:t>
            </w:r>
          </w:p>
        </w:tc>
        <w:tc>
          <w:tcPr>
            <w:tcW w:w="6800" w:type="dxa"/>
            <w:tcBorders>
              <w:top w:val="nil"/>
              <w:left w:val="nil"/>
              <w:bottom w:val="single" w:sz="4" w:space="0" w:color="auto"/>
              <w:right w:val="single" w:sz="4" w:space="0" w:color="auto"/>
            </w:tcBorders>
            <w:shd w:val="clear" w:color="auto" w:fill="auto"/>
            <w:vAlign w:val="center"/>
          </w:tcPr>
          <w:p w14:paraId="0B59AC31" w14:textId="5F775193" w:rsidR="00704211" w:rsidRPr="00EA444B" w:rsidRDefault="00704211" w:rsidP="00940436">
            <w:pPr>
              <w:spacing w:line="240" w:lineRule="auto"/>
            </w:pPr>
            <w:r w:rsidRPr="00EA444B">
              <w:t>International Astronomical Union</w:t>
            </w:r>
          </w:p>
        </w:tc>
      </w:tr>
      <w:tr w:rsidR="0053778B" w:rsidRPr="00EA444B" w14:paraId="7CAE25A8"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F547F69" w14:textId="77777777" w:rsidR="0053778B" w:rsidRPr="00EA444B" w:rsidRDefault="0053778B" w:rsidP="00940436">
            <w:pPr>
              <w:spacing w:line="240" w:lineRule="auto"/>
            </w:pPr>
            <w:r w:rsidRPr="00EA444B">
              <w:t>ICC</w:t>
            </w:r>
          </w:p>
        </w:tc>
        <w:tc>
          <w:tcPr>
            <w:tcW w:w="6800" w:type="dxa"/>
            <w:tcBorders>
              <w:top w:val="nil"/>
              <w:left w:val="nil"/>
              <w:bottom w:val="single" w:sz="4" w:space="0" w:color="auto"/>
              <w:right w:val="single" w:sz="4" w:space="0" w:color="auto"/>
            </w:tcBorders>
            <w:shd w:val="clear" w:color="auto" w:fill="auto"/>
            <w:vAlign w:val="center"/>
            <w:hideMark/>
          </w:tcPr>
          <w:p w14:paraId="57A8AAD2" w14:textId="77777777" w:rsidR="0053778B" w:rsidRPr="00EA444B" w:rsidRDefault="0053778B" w:rsidP="00940436">
            <w:pPr>
              <w:spacing w:line="240" w:lineRule="auto"/>
            </w:pPr>
            <w:r w:rsidRPr="00EA444B">
              <w:t>Internal Common Cost</w:t>
            </w:r>
          </w:p>
        </w:tc>
      </w:tr>
      <w:tr w:rsidR="0053778B" w:rsidRPr="00EA444B" w14:paraId="6C41B7B1"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FE7A966" w14:textId="77777777" w:rsidR="0053778B" w:rsidRPr="00EA444B" w:rsidRDefault="0053778B" w:rsidP="00940436">
            <w:pPr>
              <w:spacing w:line="240" w:lineRule="auto"/>
            </w:pPr>
            <w:r w:rsidRPr="00EA444B">
              <w:t>IDC</w:t>
            </w:r>
          </w:p>
        </w:tc>
        <w:tc>
          <w:tcPr>
            <w:tcW w:w="6800" w:type="dxa"/>
            <w:tcBorders>
              <w:top w:val="nil"/>
              <w:left w:val="nil"/>
              <w:bottom w:val="single" w:sz="4" w:space="0" w:color="auto"/>
              <w:right w:val="single" w:sz="4" w:space="0" w:color="auto"/>
            </w:tcBorders>
            <w:shd w:val="clear" w:color="auto" w:fill="auto"/>
            <w:vAlign w:val="center"/>
            <w:hideMark/>
          </w:tcPr>
          <w:p w14:paraId="355A8233" w14:textId="77777777" w:rsidR="0053778B" w:rsidRPr="00EA444B" w:rsidRDefault="0053778B" w:rsidP="00940436">
            <w:pPr>
              <w:spacing w:line="240" w:lineRule="auto"/>
            </w:pPr>
            <w:r w:rsidRPr="00EA444B">
              <w:t>Indirect Cost</w:t>
            </w:r>
          </w:p>
        </w:tc>
      </w:tr>
      <w:tr w:rsidR="00704211" w:rsidRPr="00EA444B" w14:paraId="4FF69DC8"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3E06C1D5" w14:textId="34AB825B" w:rsidR="00704211" w:rsidRPr="00EA444B" w:rsidRDefault="00704211" w:rsidP="00940436">
            <w:pPr>
              <w:spacing w:line="240" w:lineRule="auto"/>
            </w:pPr>
            <w:r w:rsidRPr="00EA444B">
              <w:t>IEE</w:t>
            </w:r>
          </w:p>
        </w:tc>
        <w:tc>
          <w:tcPr>
            <w:tcW w:w="6800" w:type="dxa"/>
            <w:tcBorders>
              <w:top w:val="nil"/>
              <w:left w:val="nil"/>
              <w:bottom w:val="single" w:sz="4" w:space="0" w:color="auto"/>
              <w:right w:val="single" w:sz="4" w:space="0" w:color="auto"/>
            </w:tcBorders>
            <w:shd w:val="clear" w:color="auto" w:fill="auto"/>
            <w:vAlign w:val="center"/>
          </w:tcPr>
          <w:p w14:paraId="2446ECC9" w14:textId="094FE7B0" w:rsidR="00704211" w:rsidRPr="00EA444B" w:rsidRDefault="00704211" w:rsidP="00940436">
            <w:pPr>
              <w:spacing w:line="240" w:lineRule="auto"/>
            </w:pPr>
            <w:r w:rsidRPr="00EA444B">
              <w:t>Institute of Electrical and Electronics Engineers</w:t>
            </w:r>
          </w:p>
        </w:tc>
      </w:tr>
      <w:tr w:rsidR="00227F3B" w:rsidRPr="00EA444B" w14:paraId="1F062549"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51B87811" w14:textId="383C89E9" w:rsidR="00227F3B" w:rsidRPr="00EA444B" w:rsidRDefault="00227F3B" w:rsidP="00940436">
            <w:pPr>
              <w:spacing w:line="240" w:lineRule="auto"/>
            </w:pPr>
            <w:r w:rsidRPr="00EA444B">
              <w:t>INCLUDES</w:t>
            </w:r>
          </w:p>
        </w:tc>
        <w:tc>
          <w:tcPr>
            <w:tcW w:w="6800" w:type="dxa"/>
            <w:tcBorders>
              <w:top w:val="nil"/>
              <w:left w:val="nil"/>
              <w:bottom w:val="single" w:sz="4" w:space="0" w:color="auto"/>
              <w:right w:val="single" w:sz="4" w:space="0" w:color="auto"/>
            </w:tcBorders>
            <w:shd w:val="clear" w:color="auto" w:fill="auto"/>
            <w:vAlign w:val="center"/>
          </w:tcPr>
          <w:p w14:paraId="2CE3176B" w14:textId="046CE42A" w:rsidR="00227F3B" w:rsidRPr="00EA444B" w:rsidRDefault="00227F3B" w:rsidP="00940436">
            <w:pPr>
              <w:spacing w:line="240" w:lineRule="auto"/>
            </w:pPr>
            <w:r w:rsidRPr="00EA444B">
              <w:t>Inclusion across the Nation of Communities of Learners of Underrepresented Discoverers in Engineering and Science</w:t>
            </w:r>
          </w:p>
        </w:tc>
      </w:tr>
      <w:tr w:rsidR="009313A5" w:rsidRPr="00EA444B" w14:paraId="500ED269"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64FFC6CD" w14:textId="5E43B19E" w:rsidR="009313A5" w:rsidRPr="00EA444B" w:rsidRDefault="009313A5" w:rsidP="00940436">
            <w:pPr>
              <w:spacing w:line="240" w:lineRule="auto"/>
            </w:pPr>
            <w:r w:rsidRPr="00EA444B">
              <w:t>IPG</w:t>
            </w:r>
          </w:p>
        </w:tc>
        <w:tc>
          <w:tcPr>
            <w:tcW w:w="6800" w:type="dxa"/>
            <w:tcBorders>
              <w:top w:val="nil"/>
              <w:left w:val="nil"/>
              <w:bottom w:val="single" w:sz="4" w:space="0" w:color="auto"/>
              <w:right w:val="single" w:sz="4" w:space="0" w:color="auto"/>
            </w:tcBorders>
            <w:shd w:val="clear" w:color="auto" w:fill="auto"/>
            <w:vAlign w:val="center"/>
          </w:tcPr>
          <w:p w14:paraId="437A90B9" w14:textId="71ED8955" w:rsidR="009313A5" w:rsidRPr="00EA444B" w:rsidRDefault="009313A5" w:rsidP="00940436">
            <w:pPr>
              <w:spacing w:line="240" w:lineRule="auto"/>
            </w:pPr>
            <w:r w:rsidRPr="00EA444B">
              <w:t xml:space="preserve">Interference Protection Group </w:t>
            </w:r>
          </w:p>
        </w:tc>
      </w:tr>
      <w:tr w:rsidR="00DC5809" w:rsidRPr="00EA444B" w14:paraId="14ED45E2"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5B63B17E" w14:textId="283A85AD" w:rsidR="00DC5809" w:rsidRPr="00EA444B" w:rsidRDefault="00DC5809" w:rsidP="00940436">
            <w:pPr>
              <w:spacing w:line="240" w:lineRule="auto"/>
            </w:pPr>
            <w:r w:rsidRPr="00EA444B">
              <w:t>IRAC</w:t>
            </w:r>
          </w:p>
        </w:tc>
        <w:tc>
          <w:tcPr>
            <w:tcW w:w="6800" w:type="dxa"/>
            <w:tcBorders>
              <w:top w:val="nil"/>
              <w:left w:val="nil"/>
              <w:bottom w:val="single" w:sz="4" w:space="0" w:color="auto"/>
              <w:right w:val="single" w:sz="4" w:space="0" w:color="auto"/>
            </w:tcBorders>
            <w:shd w:val="clear" w:color="auto" w:fill="auto"/>
            <w:vAlign w:val="center"/>
          </w:tcPr>
          <w:p w14:paraId="1A9D059E" w14:textId="24480F7B" w:rsidR="00DC5809" w:rsidRPr="00EA444B" w:rsidRDefault="00DC5809" w:rsidP="00940436">
            <w:pPr>
              <w:spacing w:line="240" w:lineRule="auto"/>
            </w:pPr>
            <w:proofErr w:type="spellStart"/>
            <w:r w:rsidRPr="00EA444B">
              <w:t>Interdepartment</w:t>
            </w:r>
            <w:proofErr w:type="spellEnd"/>
            <w:r w:rsidRPr="00EA444B">
              <w:t xml:space="preserve"> Radio Advisory Committee</w:t>
            </w:r>
          </w:p>
        </w:tc>
      </w:tr>
      <w:tr w:rsidR="00334960" w:rsidRPr="00EA444B" w14:paraId="01CFC7DF"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50334326" w14:textId="6668BE34" w:rsidR="00334960" w:rsidRPr="00EA444B" w:rsidRDefault="00334960" w:rsidP="00940436">
            <w:pPr>
              <w:spacing w:line="240" w:lineRule="auto"/>
            </w:pPr>
            <w:r w:rsidRPr="00EA444B">
              <w:t>ISM</w:t>
            </w:r>
          </w:p>
        </w:tc>
        <w:tc>
          <w:tcPr>
            <w:tcW w:w="6800" w:type="dxa"/>
            <w:tcBorders>
              <w:top w:val="nil"/>
              <w:left w:val="nil"/>
              <w:bottom w:val="single" w:sz="4" w:space="0" w:color="auto"/>
              <w:right w:val="single" w:sz="4" w:space="0" w:color="auto"/>
            </w:tcBorders>
            <w:shd w:val="clear" w:color="auto" w:fill="auto"/>
            <w:vAlign w:val="center"/>
          </w:tcPr>
          <w:p w14:paraId="59A3F3E0" w14:textId="009D6A64" w:rsidR="00334960" w:rsidRPr="00EA444B" w:rsidRDefault="00334960" w:rsidP="00940436">
            <w:pPr>
              <w:spacing w:line="240" w:lineRule="auto"/>
            </w:pPr>
            <w:r w:rsidRPr="00EA444B">
              <w:t>Interstellar Medium</w:t>
            </w:r>
          </w:p>
        </w:tc>
      </w:tr>
      <w:tr w:rsidR="0053778B" w:rsidRPr="00EA444B" w14:paraId="0B4D537C"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030E0FC" w14:textId="77777777" w:rsidR="0053778B" w:rsidRPr="00EA444B" w:rsidRDefault="0053778B" w:rsidP="00940436">
            <w:pPr>
              <w:spacing w:line="240" w:lineRule="auto"/>
            </w:pPr>
            <w:r w:rsidRPr="00EA444B">
              <w:t>ITU-R</w:t>
            </w:r>
          </w:p>
        </w:tc>
        <w:tc>
          <w:tcPr>
            <w:tcW w:w="6800" w:type="dxa"/>
            <w:tcBorders>
              <w:top w:val="nil"/>
              <w:left w:val="nil"/>
              <w:bottom w:val="single" w:sz="4" w:space="0" w:color="auto"/>
              <w:right w:val="single" w:sz="4" w:space="0" w:color="auto"/>
            </w:tcBorders>
            <w:shd w:val="clear" w:color="auto" w:fill="auto"/>
            <w:vAlign w:val="center"/>
            <w:hideMark/>
          </w:tcPr>
          <w:p w14:paraId="5E33FBBC" w14:textId="77777777" w:rsidR="0053778B" w:rsidRPr="00EA444B" w:rsidRDefault="0053778B" w:rsidP="00940436">
            <w:pPr>
              <w:spacing w:line="240" w:lineRule="auto"/>
            </w:pPr>
            <w:r w:rsidRPr="00EA444B">
              <w:t>International Telecommunication Union-Radio</w:t>
            </w:r>
          </w:p>
        </w:tc>
      </w:tr>
      <w:tr w:rsidR="0053778B" w:rsidRPr="00EA444B" w14:paraId="07C67F68" w14:textId="77777777" w:rsidTr="007E581D">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0887D03" w14:textId="77777777" w:rsidR="0053778B" w:rsidRPr="00EA444B" w:rsidRDefault="0053778B" w:rsidP="00940436">
            <w:pPr>
              <w:spacing w:line="240" w:lineRule="auto"/>
            </w:pPr>
            <w:r w:rsidRPr="00EA444B">
              <w:t>IVS</w:t>
            </w:r>
          </w:p>
        </w:tc>
        <w:tc>
          <w:tcPr>
            <w:tcW w:w="6800" w:type="dxa"/>
            <w:tcBorders>
              <w:top w:val="nil"/>
              <w:left w:val="nil"/>
              <w:bottom w:val="single" w:sz="4" w:space="0" w:color="auto"/>
              <w:right w:val="single" w:sz="4" w:space="0" w:color="auto"/>
            </w:tcBorders>
            <w:shd w:val="clear" w:color="auto" w:fill="auto"/>
            <w:vAlign w:val="center"/>
            <w:hideMark/>
          </w:tcPr>
          <w:p w14:paraId="7F30A212" w14:textId="77777777" w:rsidR="0053778B" w:rsidRPr="00EA444B" w:rsidRDefault="0053778B" w:rsidP="00940436">
            <w:pPr>
              <w:spacing w:line="240" w:lineRule="auto"/>
            </w:pPr>
            <w:r w:rsidRPr="00EA444B">
              <w:t>International VLBI Service for Geometry and Astrometry</w:t>
            </w:r>
          </w:p>
        </w:tc>
      </w:tr>
      <w:tr w:rsidR="0053778B" w:rsidRPr="00EA444B" w14:paraId="26D3111C" w14:textId="77777777" w:rsidTr="007E581D">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27DCA" w14:textId="77777777" w:rsidR="0053778B" w:rsidRPr="00EA444B" w:rsidRDefault="0053778B" w:rsidP="00940436">
            <w:pPr>
              <w:spacing w:line="240" w:lineRule="auto"/>
            </w:pPr>
            <w:r w:rsidRPr="00EA444B">
              <w:t>JIVE</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09364" w14:textId="77777777" w:rsidR="0053778B" w:rsidRPr="00EA444B" w:rsidRDefault="0053778B" w:rsidP="00940436">
            <w:pPr>
              <w:spacing w:line="240" w:lineRule="auto"/>
            </w:pPr>
            <w:r w:rsidRPr="00EA444B">
              <w:t>Joint Institute for VLBI in Europe</w:t>
            </w:r>
          </w:p>
        </w:tc>
      </w:tr>
      <w:tr w:rsidR="00227F3B" w:rsidRPr="00EA444B" w14:paraId="40FFE92C" w14:textId="77777777" w:rsidTr="007E581D">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ECC2DE6" w14:textId="4049ADBD" w:rsidR="00227F3B" w:rsidRPr="00EA444B" w:rsidRDefault="00227F3B" w:rsidP="00940436">
            <w:pPr>
              <w:spacing w:line="240" w:lineRule="auto"/>
            </w:pPr>
            <w:r w:rsidRPr="00EA444B">
              <w:t>JPL</w:t>
            </w:r>
          </w:p>
        </w:tc>
        <w:tc>
          <w:tcPr>
            <w:tcW w:w="6800" w:type="dxa"/>
            <w:tcBorders>
              <w:top w:val="single" w:sz="4" w:space="0" w:color="auto"/>
              <w:left w:val="nil"/>
              <w:bottom w:val="single" w:sz="4" w:space="0" w:color="auto"/>
              <w:right w:val="single" w:sz="4" w:space="0" w:color="auto"/>
            </w:tcBorders>
            <w:shd w:val="clear" w:color="auto" w:fill="auto"/>
            <w:vAlign w:val="center"/>
          </w:tcPr>
          <w:p w14:paraId="5A09B209" w14:textId="6EBBA316" w:rsidR="00227F3B" w:rsidRPr="00EA444B" w:rsidRDefault="00227F3B" w:rsidP="00940436">
            <w:pPr>
              <w:spacing w:line="240" w:lineRule="auto"/>
            </w:pPr>
            <w:r w:rsidRPr="00EA444B">
              <w:t>Jet Propulsion Laboratory</w:t>
            </w:r>
          </w:p>
        </w:tc>
      </w:tr>
      <w:tr w:rsidR="00334960" w:rsidRPr="00EA444B" w14:paraId="608AC27B"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4546C8BA" w14:textId="5111E812" w:rsidR="00334960" w:rsidRPr="00EA444B" w:rsidRDefault="00334960" w:rsidP="00940436">
            <w:pPr>
              <w:spacing w:line="240" w:lineRule="auto"/>
            </w:pPr>
            <w:r w:rsidRPr="00EA444B">
              <w:lastRenderedPageBreak/>
              <w:t>KFPA</w:t>
            </w:r>
          </w:p>
        </w:tc>
        <w:tc>
          <w:tcPr>
            <w:tcW w:w="6800" w:type="dxa"/>
            <w:tcBorders>
              <w:top w:val="nil"/>
              <w:left w:val="nil"/>
              <w:bottom w:val="single" w:sz="4" w:space="0" w:color="auto"/>
              <w:right w:val="single" w:sz="4" w:space="0" w:color="auto"/>
            </w:tcBorders>
            <w:shd w:val="clear" w:color="auto" w:fill="auto"/>
            <w:vAlign w:val="center"/>
          </w:tcPr>
          <w:p w14:paraId="478F53B3" w14:textId="25607CBA" w:rsidR="00334960" w:rsidRPr="00EA444B" w:rsidRDefault="00334960" w:rsidP="00940436">
            <w:pPr>
              <w:spacing w:line="240" w:lineRule="auto"/>
            </w:pPr>
            <w:r w:rsidRPr="00EA444B">
              <w:t>K-band Focal Plane Array</w:t>
            </w:r>
          </w:p>
        </w:tc>
      </w:tr>
      <w:tr w:rsidR="00F36380" w:rsidRPr="00EA444B" w14:paraId="74DF75DC"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32A3F222" w14:textId="1B082055" w:rsidR="00F36380" w:rsidRPr="00EA444B" w:rsidRDefault="00F36380" w:rsidP="00940436">
            <w:pPr>
              <w:spacing w:line="240" w:lineRule="auto"/>
            </w:pPr>
            <w:r w:rsidRPr="00EA444B">
              <w:t>KPI</w:t>
            </w:r>
          </w:p>
        </w:tc>
        <w:tc>
          <w:tcPr>
            <w:tcW w:w="6800" w:type="dxa"/>
            <w:tcBorders>
              <w:top w:val="nil"/>
              <w:left w:val="nil"/>
              <w:bottom w:val="single" w:sz="4" w:space="0" w:color="auto"/>
              <w:right w:val="single" w:sz="4" w:space="0" w:color="auto"/>
            </w:tcBorders>
            <w:shd w:val="clear" w:color="auto" w:fill="auto"/>
            <w:vAlign w:val="center"/>
          </w:tcPr>
          <w:p w14:paraId="568CDBF7" w14:textId="69895427" w:rsidR="00F36380" w:rsidRPr="00EA444B" w:rsidRDefault="00F36380" w:rsidP="00940436">
            <w:pPr>
              <w:spacing w:line="240" w:lineRule="auto"/>
            </w:pPr>
            <w:r w:rsidRPr="00EA444B">
              <w:t>Key Performance Indicators</w:t>
            </w:r>
          </w:p>
        </w:tc>
      </w:tr>
      <w:tr w:rsidR="00213E20" w:rsidRPr="00EA444B" w14:paraId="6F40DD09"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D31D817" w14:textId="35E127FA" w:rsidR="00213E20" w:rsidRPr="00EA444B" w:rsidRDefault="00213E20" w:rsidP="00940436">
            <w:pPr>
              <w:spacing w:line="240" w:lineRule="auto"/>
            </w:pPr>
            <w:r w:rsidRPr="00EA444B">
              <w:t>LASSI</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tcPr>
          <w:p w14:paraId="0C3BDAAD" w14:textId="0EFD7048" w:rsidR="00213E20" w:rsidRPr="00EA444B" w:rsidRDefault="00213E20" w:rsidP="00940436">
            <w:pPr>
              <w:spacing w:line="240" w:lineRule="auto"/>
            </w:pPr>
            <w:r w:rsidRPr="00EA444B">
              <w:t>Laser Antenna Surface Scanning Instrument</w:t>
            </w:r>
          </w:p>
        </w:tc>
      </w:tr>
      <w:tr w:rsidR="0053778B" w:rsidRPr="00EA444B" w14:paraId="2BFE8239"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B6FAA" w14:textId="77777777" w:rsidR="0053778B" w:rsidRPr="00EA444B" w:rsidRDefault="0053778B" w:rsidP="00940436">
            <w:pPr>
              <w:spacing w:line="240" w:lineRule="auto"/>
            </w:pPr>
            <w:r w:rsidRPr="00EA444B">
              <w:t>LIGO</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7755E" w14:textId="77777777" w:rsidR="0053778B" w:rsidRPr="00EA444B" w:rsidRDefault="0053778B" w:rsidP="00940436">
            <w:pPr>
              <w:spacing w:line="240" w:lineRule="auto"/>
            </w:pPr>
            <w:r w:rsidRPr="00EA444B">
              <w:t>Laser Interferometer Gravitational-Wave Observatory</w:t>
            </w:r>
          </w:p>
        </w:tc>
      </w:tr>
      <w:tr w:rsidR="0053778B" w:rsidRPr="00EA444B" w14:paraId="5BC89111" w14:textId="77777777" w:rsidTr="00704211">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68DE9" w14:textId="77777777" w:rsidR="0053778B" w:rsidRPr="00EA444B" w:rsidRDefault="0053778B" w:rsidP="00940436">
            <w:pPr>
              <w:spacing w:line="240" w:lineRule="auto"/>
            </w:pPr>
            <w:r w:rsidRPr="00EA444B">
              <w:t>LMT</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0B0F0F3F" w14:textId="77777777" w:rsidR="0053778B" w:rsidRPr="00EA444B" w:rsidRDefault="0053778B" w:rsidP="00940436">
            <w:pPr>
              <w:spacing w:line="240" w:lineRule="auto"/>
            </w:pPr>
            <w:r w:rsidRPr="00EA444B">
              <w:t>Large Millimeter Telescope</w:t>
            </w:r>
          </w:p>
        </w:tc>
      </w:tr>
      <w:tr w:rsidR="0053778B" w:rsidRPr="00EA444B" w14:paraId="5FF58762" w14:textId="77777777" w:rsidTr="00704211">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22752" w14:textId="77777777" w:rsidR="0053778B" w:rsidRPr="00EA444B" w:rsidRDefault="0053778B" w:rsidP="00940436">
            <w:pPr>
              <w:spacing w:line="240" w:lineRule="auto"/>
            </w:pPr>
            <w:r w:rsidRPr="00EA444B">
              <w:t>LoFASM</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B4F15" w14:textId="77777777" w:rsidR="0053778B" w:rsidRPr="00EA444B" w:rsidRDefault="0053778B" w:rsidP="00940436">
            <w:pPr>
              <w:spacing w:line="240" w:lineRule="auto"/>
            </w:pPr>
            <w:r w:rsidRPr="00EA444B">
              <w:t>Low Frequency All-Sky Monitor Project</w:t>
            </w:r>
          </w:p>
        </w:tc>
      </w:tr>
      <w:tr w:rsidR="00DC5809" w:rsidRPr="00EA444B" w14:paraId="582E757D" w14:textId="77777777" w:rsidTr="00704211">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38C26B0" w14:textId="1742D12F" w:rsidR="00DC5809" w:rsidRPr="00EA444B" w:rsidRDefault="00DC5809" w:rsidP="00940436">
            <w:pPr>
              <w:spacing w:line="240" w:lineRule="auto"/>
            </w:pPr>
            <w:r w:rsidRPr="00EA444B">
              <w:t>LPI</w:t>
            </w:r>
          </w:p>
        </w:tc>
        <w:tc>
          <w:tcPr>
            <w:tcW w:w="6800" w:type="dxa"/>
            <w:tcBorders>
              <w:top w:val="single" w:sz="4" w:space="0" w:color="auto"/>
              <w:left w:val="nil"/>
              <w:bottom w:val="single" w:sz="4" w:space="0" w:color="auto"/>
              <w:right w:val="single" w:sz="4" w:space="0" w:color="auto"/>
            </w:tcBorders>
            <w:shd w:val="clear" w:color="auto" w:fill="auto"/>
            <w:vAlign w:val="center"/>
          </w:tcPr>
          <w:p w14:paraId="62B51689" w14:textId="07FAD4A8" w:rsidR="00DC5809" w:rsidRPr="00EA444B" w:rsidRDefault="00DC5809" w:rsidP="00940436">
            <w:pPr>
              <w:spacing w:line="240" w:lineRule="auto"/>
            </w:pPr>
            <w:r w:rsidRPr="00EA444B">
              <w:t>Lebedev Physical Institute</w:t>
            </w:r>
          </w:p>
        </w:tc>
      </w:tr>
      <w:tr w:rsidR="00280841" w:rsidRPr="00EA444B" w14:paraId="7A188535" w14:textId="77777777" w:rsidTr="00704211">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C4B4200" w14:textId="34A64ABC" w:rsidR="00280841" w:rsidRPr="00EA444B" w:rsidRDefault="00280841" w:rsidP="00940436">
            <w:pPr>
              <w:spacing w:line="240" w:lineRule="auto"/>
            </w:pPr>
            <w:r>
              <w:t>MaDCoWS</w:t>
            </w:r>
          </w:p>
        </w:tc>
        <w:tc>
          <w:tcPr>
            <w:tcW w:w="6800" w:type="dxa"/>
            <w:tcBorders>
              <w:top w:val="single" w:sz="4" w:space="0" w:color="auto"/>
              <w:left w:val="nil"/>
              <w:bottom w:val="single" w:sz="4" w:space="0" w:color="auto"/>
              <w:right w:val="single" w:sz="4" w:space="0" w:color="auto"/>
            </w:tcBorders>
            <w:shd w:val="clear" w:color="auto" w:fill="auto"/>
            <w:vAlign w:val="center"/>
          </w:tcPr>
          <w:p w14:paraId="2E2FC800" w14:textId="09A285A9" w:rsidR="00280841" w:rsidRPr="00EA444B" w:rsidRDefault="00280841" w:rsidP="00940436">
            <w:pPr>
              <w:spacing w:line="240" w:lineRule="auto"/>
            </w:pPr>
            <w:r>
              <w:t>Massive and Distant Clusters of WISE Survey</w:t>
            </w:r>
          </w:p>
        </w:tc>
      </w:tr>
      <w:tr w:rsidR="00F36380" w:rsidRPr="00EA444B" w14:paraId="688F18E0" w14:textId="77777777" w:rsidTr="0010763B">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3D763BF" w14:textId="4D2304C2" w:rsidR="00F36380" w:rsidRPr="00EA444B" w:rsidRDefault="00F36380" w:rsidP="00940436">
            <w:pPr>
              <w:spacing w:line="240" w:lineRule="auto"/>
            </w:pPr>
            <w:r w:rsidRPr="00EA444B">
              <w:t>MIS</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tcPr>
          <w:p w14:paraId="591A7F36" w14:textId="02DC4422" w:rsidR="00F36380" w:rsidRPr="00EA444B" w:rsidRDefault="00F36380" w:rsidP="00940436">
            <w:pPr>
              <w:spacing w:line="240" w:lineRule="auto"/>
            </w:pPr>
            <w:r w:rsidRPr="00EA444B">
              <w:t>Management Information Services</w:t>
            </w:r>
          </w:p>
        </w:tc>
      </w:tr>
      <w:tr w:rsidR="001C0FD0" w:rsidRPr="00EA444B" w14:paraId="15CFD4BD" w14:textId="77777777" w:rsidTr="0010763B">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C4C93F0" w14:textId="45678392" w:rsidR="001C0FD0" w:rsidRPr="00EA444B" w:rsidRDefault="001C0FD0" w:rsidP="00940436">
            <w:pPr>
              <w:spacing w:line="240" w:lineRule="auto"/>
            </w:pPr>
            <w:r w:rsidRPr="00EA444B">
              <w:t>MMIC</w:t>
            </w:r>
          </w:p>
        </w:tc>
        <w:tc>
          <w:tcPr>
            <w:tcW w:w="6800" w:type="dxa"/>
            <w:tcBorders>
              <w:top w:val="single" w:sz="4" w:space="0" w:color="auto"/>
              <w:left w:val="nil"/>
              <w:bottom w:val="single" w:sz="4" w:space="0" w:color="auto"/>
              <w:right w:val="single" w:sz="4" w:space="0" w:color="auto"/>
            </w:tcBorders>
            <w:shd w:val="clear" w:color="auto" w:fill="auto"/>
            <w:vAlign w:val="center"/>
          </w:tcPr>
          <w:p w14:paraId="70D42657" w14:textId="350CD85F" w:rsidR="001C0FD0" w:rsidRPr="00EA444B" w:rsidRDefault="001C0FD0" w:rsidP="00940436">
            <w:pPr>
              <w:spacing w:line="240" w:lineRule="auto"/>
            </w:pPr>
            <w:r w:rsidRPr="00EA444B">
              <w:t>Monolithic Microwave Integrated Circuit</w:t>
            </w:r>
          </w:p>
        </w:tc>
      </w:tr>
      <w:tr w:rsidR="00DC5809" w:rsidRPr="00EA444B" w14:paraId="66CD88EB" w14:textId="77777777" w:rsidTr="00EE4307">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B976711" w14:textId="48C0EFDE" w:rsidR="00DC5809" w:rsidRPr="00EA444B" w:rsidRDefault="00DC5809" w:rsidP="00940436">
            <w:pPr>
              <w:spacing w:line="240" w:lineRule="auto"/>
            </w:pPr>
            <w:r w:rsidRPr="00EA444B">
              <w:t>MOU</w:t>
            </w:r>
          </w:p>
        </w:tc>
        <w:tc>
          <w:tcPr>
            <w:tcW w:w="6800" w:type="dxa"/>
            <w:tcBorders>
              <w:top w:val="single" w:sz="4" w:space="0" w:color="auto"/>
              <w:left w:val="nil"/>
              <w:bottom w:val="single" w:sz="4" w:space="0" w:color="auto"/>
              <w:right w:val="single" w:sz="4" w:space="0" w:color="auto"/>
            </w:tcBorders>
            <w:shd w:val="clear" w:color="auto" w:fill="auto"/>
            <w:vAlign w:val="center"/>
          </w:tcPr>
          <w:p w14:paraId="7A59EC5C" w14:textId="489386B7" w:rsidR="00DC5809" w:rsidRPr="00EA444B" w:rsidRDefault="00DC5809" w:rsidP="00940436">
            <w:pPr>
              <w:spacing w:line="240" w:lineRule="auto"/>
            </w:pPr>
            <w:r w:rsidRPr="00EA444B">
              <w:t>Memorandum of Understanding</w:t>
            </w:r>
          </w:p>
        </w:tc>
      </w:tr>
      <w:tr w:rsidR="0053778B" w:rsidRPr="00EA444B" w14:paraId="108F5D28"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58D7F" w14:textId="77777777" w:rsidR="0053778B" w:rsidRPr="00EA444B" w:rsidRDefault="0053778B" w:rsidP="00940436">
            <w:pPr>
              <w:spacing w:line="240" w:lineRule="auto"/>
            </w:pPr>
            <w:proofErr w:type="spellStart"/>
            <w:r w:rsidRPr="00EA444B">
              <w:t>MPIfR</w:t>
            </w:r>
            <w:proofErr w:type="spellEnd"/>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4AC206E5" w14:textId="77777777" w:rsidR="0053778B" w:rsidRPr="00EA444B" w:rsidRDefault="0053778B" w:rsidP="00940436">
            <w:pPr>
              <w:spacing w:line="240" w:lineRule="auto"/>
            </w:pPr>
            <w:r w:rsidRPr="00EA444B">
              <w:t>Max Planck Institute for Radio Astronomy</w:t>
            </w:r>
          </w:p>
        </w:tc>
      </w:tr>
      <w:tr w:rsidR="00A014E0" w:rsidRPr="00EA444B" w14:paraId="0A0E87A8" w14:textId="77777777" w:rsidTr="00213DD5">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94D1097" w14:textId="2CA83DCD" w:rsidR="00A014E0" w:rsidRPr="00EA444B" w:rsidRDefault="00A014E0" w:rsidP="00940436">
            <w:pPr>
              <w:spacing w:line="240" w:lineRule="auto"/>
            </w:pPr>
            <w:r w:rsidRPr="00EA444B">
              <w:t>MSIP</w:t>
            </w:r>
          </w:p>
        </w:tc>
        <w:tc>
          <w:tcPr>
            <w:tcW w:w="6800" w:type="dxa"/>
            <w:tcBorders>
              <w:top w:val="single" w:sz="4" w:space="0" w:color="auto"/>
              <w:left w:val="nil"/>
              <w:bottom w:val="single" w:sz="4" w:space="0" w:color="auto"/>
              <w:right w:val="single" w:sz="4" w:space="0" w:color="auto"/>
            </w:tcBorders>
            <w:shd w:val="clear" w:color="auto" w:fill="auto"/>
            <w:vAlign w:val="center"/>
          </w:tcPr>
          <w:p w14:paraId="5C8233EA" w14:textId="69704FFF" w:rsidR="00A014E0" w:rsidRPr="00EA444B" w:rsidRDefault="00A014E0" w:rsidP="00940436">
            <w:pPr>
              <w:spacing w:line="240" w:lineRule="auto"/>
            </w:pPr>
            <w:r w:rsidRPr="00EA444B">
              <w:t>Mid-Scale Innovations Program in Astronomical Sciences</w:t>
            </w:r>
          </w:p>
        </w:tc>
      </w:tr>
      <w:tr w:rsidR="0053778B" w:rsidRPr="00EA444B" w14:paraId="1D8573E9" w14:textId="77777777" w:rsidTr="00213DD5">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57277" w14:textId="77777777" w:rsidR="0053778B" w:rsidRPr="00EA444B" w:rsidRDefault="0053778B" w:rsidP="00940436">
            <w:pPr>
              <w:spacing w:line="240" w:lineRule="auto"/>
            </w:pPr>
            <w:r w:rsidRPr="00EA444B">
              <w:t>MUSTANG</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51C24" w14:textId="77777777" w:rsidR="0053778B" w:rsidRPr="00EA444B" w:rsidRDefault="0053778B" w:rsidP="00940436">
            <w:pPr>
              <w:spacing w:line="240" w:lineRule="auto"/>
            </w:pPr>
            <w:r w:rsidRPr="00EA444B">
              <w:t>Multiplexed SQUID/TES Array for Ninety Gigahertz</w:t>
            </w:r>
          </w:p>
        </w:tc>
      </w:tr>
      <w:tr w:rsidR="00065C1E" w:rsidRPr="00EA444B" w14:paraId="213851AF" w14:textId="77777777" w:rsidTr="00213DD5">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355AA62" w14:textId="0A53C6E6" w:rsidR="00065C1E" w:rsidRPr="00EA444B" w:rsidRDefault="00065C1E" w:rsidP="00940436">
            <w:pPr>
              <w:spacing w:line="240" w:lineRule="auto"/>
            </w:pPr>
            <w:r w:rsidRPr="00EA444B">
              <w:t>NAC</w:t>
            </w:r>
          </w:p>
        </w:tc>
        <w:tc>
          <w:tcPr>
            <w:tcW w:w="6800" w:type="dxa"/>
            <w:tcBorders>
              <w:top w:val="single" w:sz="4" w:space="0" w:color="auto"/>
              <w:left w:val="nil"/>
              <w:bottom w:val="single" w:sz="4" w:space="0" w:color="auto"/>
              <w:right w:val="single" w:sz="4" w:space="0" w:color="auto"/>
            </w:tcBorders>
            <w:shd w:val="clear" w:color="auto" w:fill="auto"/>
            <w:vAlign w:val="center"/>
          </w:tcPr>
          <w:p w14:paraId="6876661D" w14:textId="168D7665" w:rsidR="00065C1E" w:rsidRPr="00EA444B" w:rsidRDefault="00065C1E" w:rsidP="00940436">
            <w:pPr>
              <w:spacing w:line="240" w:lineRule="auto"/>
            </w:pPr>
            <w:r w:rsidRPr="00EA444B">
              <w:t>National Astronomy Consortium</w:t>
            </w:r>
          </w:p>
        </w:tc>
      </w:tr>
      <w:tr w:rsidR="0053778B" w:rsidRPr="00EA444B" w14:paraId="430CEC6A"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3BC7B9A" w14:textId="77777777" w:rsidR="0053778B" w:rsidRPr="00EA444B" w:rsidRDefault="0053778B" w:rsidP="00940436">
            <w:pPr>
              <w:spacing w:line="240" w:lineRule="auto"/>
            </w:pPr>
            <w:r w:rsidRPr="00EA444B">
              <w:t>NANOGrav</w:t>
            </w:r>
          </w:p>
        </w:tc>
        <w:tc>
          <w:tcPr>
            <w:tcW w:w="6800" w:type="dxa"/>
            <w:tcBorders>
              <w:top w:val="nil"/>
              <w:left w:val="nil"/>
              <w:bottom w:val="single" w:sz="4" w:space="0" w:color="auto"/>
              <w:right w:val="single" w:sz="4" w:space="0" w:color="auto"/>
            </w:tcBorders>
            <w:shd w:val="clear" w:color="auto" w:fill="auto"/>
            <w:vAlign w:val="center"/>
            <w:hideMark/>
          </w:tcPr>
          <w:p w14:paraId="10DE8124" w14:textId="77777777" w:rsidR="0053778B" w:rsidRPr="00EA444B" w:rsidRDefault="0053778B" w:rsidP="00940436">
            <w:pPr>
              <w:spacing w:line="240" w:lineRule="auto"/>
            </w:pPr>
            <w:r w:rsidRPr="00EA444B">
              <w:t xml:space="preserve">North American </w:t>
            </w:r>
            <w:proofErr w:type="spellStart"/>
            <w:r w:rsidRPr="00EA444B">
              <w:t>NanoHertz</w:t>
            </w:r>
            <w:proofErr w:type="spellEnd"/>
            <w:r w:rsidRPr="00EA444B">
              <w:t xml:space="preserve"> Observatory for Gravitational Waves</w:t>
            </w:r>
          </w:p>
        </w:tc>
      </w:tr>
      <w:tr w:rsidR="0053778B" w:rsidRPr="00EA444B" w14:paraId="3EF0BEA3"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1D66A09" w14:textId="77777777" w:rsidR="0053778B" w:rsidRPr="00EA444B" w:rsidRDefault="0053778B" w:rsidP="00940436">
            <w:pPr>
              <w:spacing w:line="240" w:lineRule="auto"/>
            </w:pPr>
            <w:r w:rsidRPr="00EA444B">
              <w:t>NASA</w:t>
            </w:r>
          </w:p>
        </w:tc>
        <w:tc>
          <w:tcPr>
            <w:tcW w:w="6800" w:type="dxa"/>
            <w:tcBorders>
              <w:top w:val="nil"/>
              <w:left w:val="nil"/>
              <w:bottom w:val="single" w:sz="4" w:space="0" w:color="auto"/>
              <w:right w:val="single" w:sz="4" w:space="0" w:color="auto"/>
            </w:tcBorders>
            <w:shd w:val="clear" w:color="auto" w:fill="auto"/>
            <w:vAlign w:val="center"/>
            <w:hideMark/>
          </w:tcPr>
          <w:p w14:paraId="79AEB8B4" w14:textId="77777777" w:rsidR="0053778B" w:rsidRPr="00EA444B" w:rsidRDefault="0053778B" w:rsidP="00940436">
            <w:pPr>
              <w:spacing w:line="240" w:lineRule="auto"/>
            </w:pPr>
            <w:r w:rsidRPr="00EA444B">
              <w:t>National Aeronautics and Space Administration</w:t>
            </w:r>
          </w:p>
        </w:tc>
      </w:tr>
      <w:tr w:rsidR="00227F3B" w:rsidRPr="00EA444B" w14:paraId="64EC1606"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13076AA" w14:textId="03623862" w:rsidR="00227F3B" w:rsidRPr="00EA444B" w:rsidRDefault="00227F3B" w:rsidP="00940436">
            <w:pPr>
              <w:spacing w:line="240" w:lineRule="auto"/>
            </w:pPr>
            <w:r w:rsidRPr="00EA444B">
              <w:t>NEA</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tcPr>
          <w:p w14:paraId="3B451965" w14:textId="0E9387FE" w:rsidR="00227F3B" w:rsidRPr="00EA444B" w:rsidRDefault="00227F3B" w:rsidP="00940436">
            <w:pPr>
              <w:spacing w:line="240" w:lineRule="auto"/>
            </w:pPr>
            <w:r w:rsidRPr="00EA444B">
              <w:t>Near-Earth Asteroids</w:t>
            </w:r>
          </w:p>
        </w:tc>
      </w:tr>
      <w:tr w:rsidR="00A014E0" w:rsidRPr="00EA444B" w14:paraId="40D99A03" w14:textId="77777777" w:rsidTr="00227F3B">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0A98C47" w14:textId="33065887" w:rsidR="00A014E0" w:rsidRPr="00EA444B" w:rsidRDefault="00A014E0" w:rsidP="00940436">
            <w:pPr>
              <w:spacing w:line="240" w:lineRule="auto"/>
            </w:pPr>
            <w:r w:rsidRPr="00EA444B">
              <w:t>NGAS</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tcPr>
          <w:p w14:paraId="73773FDB" w14:textId="71C653E0" w:rsidR="00A014E0" w:rsidRPr="00EA444B" w:rsidRDefault="00A014E0" w:rsidP="00940436">
            <w:pPr>
              <w:spacing w:line="240" w:lineRule="auto"/>
            </w:pPr>
            <w:r w:rsidRPr="00EA444B">
              <w:t>Next Generation Archive Systems</w:t>
            </w:r>
          </w:p>
        </w:tc>
      </w:tr>
      <w:tr w:rsidR="0053778B" w:rsidRPr="00EA444B" w14:paraId="2F09A40D"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E46C3" w14:textId="77777777" w:rsidR="0053778B" w:rsidRPr="00EA444B" w:rsidRDefault="0053778B" w:rsidP="00940436">
            <w:pPr>
              <w:spacing w:line="240" w:lineRule="auto"/>
            </w:pPr>
            <w:r w:rsidRPr="00EA444B">
              <w:t>NGSS</w:t>
            </w:r>
          </w:p>
        </w:tc>
        <w:tc>
          <w:tcPr>
            <w:tcW w:w="6800" w:type="dxa"/>
            <w:tcBorders>
              <w:top w:val="single" w:sz="4" w:space="0" w:color="auto"/>
              <w:left w:val="nil"/>
              <w:bottom w:val="single" w:sz="4" w:space="0" w:color="auto"/>
              <w:right w:val="single" w:sz="4" w:space="0" w:color="auto"/>
            </w:tcBorders>
            <w:shd w:val="clear" w:color="auto" w:fill="auto"/>
            <w:noWrap/>
            <w:vAlign w:val="center"/>
            <w:hideMark/>
          </w:tcPr>
          <w:p w14:paraId="687D6E9E" w14:textId="77777777" w:rsidR="0053778B" w:rsidRPr="00EA444B" w:rsidRDefault="0053778B" w:rsidP="00940436">
            <w:pPr>
              <w:spacing w:line="240" w:lineRule="auto"/>
            </w:pPr>
            <w:r w:rsidRPr="00EA444B">
              <w:t xml:space="preserve">Next Generation Science Standards </w:t>
            </w:r>
          </w:p>
        </w:tc>
      </w:tr>
      <w:tr w:rsidR="00526E67" w:rsidRPr="00EA444B" w14:paraId="718E8ACC"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41C9FF72" w14:textId="4AACA9C9" w:rsidR="00526E67" w:rsidRPr="00EA444B" w:rsidRDefault="00526E67" w:rsidP="00940436">
            <w:pPr>
              <w:spacing w:line="240" w:lineRule="auto"/>
            </w:pPr>
            <w:r w:rsidRPr="00EA444B">
              <w:t>ngVLA</w:t>
            </w:r>
          </w:p>
        </w:tc>
        <w:tc>
          <w:tcPr>
            <w:tcW w:w="6800" w:type="dxa"/>
            <w:tcBorders>
              <w:top w:val="nil"/>
              <w:left w:val="nil"/>
              <w:bottom w:val="single" w:sz="4" w:space="0" w:color="auto"/>
              <w:right w:val="single" w:sz="4" w:space="0" w:color="auto"/>
            </w:tcBorders>
            <w:shd w:val="clear" w:color="auto" w:fill="auto"/>
            <w:vAlign w:val="center"/>
          </w:tcPr>
          <w:p w14:paraId="7D599AA4" w14:textId="79B2077D" w:rsidR="00526E67" w:rsidRPr="00EA444B" w:rsidRDefault="00526E67" w:rsidP="00940436">
            <w:pPr>
              <w:spacing w:line="240" w:lineRule="auto"/>
            </w:pPr>
            <w:r w:rsidRPr="00EA444B">
              <w:t>Next Generation Very Large Array</w:t>
            </w:r>
          </w:p>
        </w:tc>
      </w:tr>
      <w:tr w:rsidR="00A218FA" w:rsidRPr="00EA444B" w14:paraId="55FA5E11"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225CE068" w14:textId="3529DBFD" w:rsidR="00A218FA" w:rsidRPr="00EA444B" w:rsidRDefault="00A218FA" w:rsidP="00940436">
            <w:pPr>
              <w:spacing w:line="240" w:lineRule="auto"/>
            </w:pPr>
            <w:proofErr w:type="spellStart"/>
            <w:r w:rsidRPr="00EA444B">
              <w:t>ngVLBA</w:t>
            </w:r>
            <w:proofErr w:type="spellEnd"/>
          </w:p>
        </w:tc>
        <w:tc>
          <w:tcPr>
            <w:tcW w:w="6800" w:type="dxa"/>
            <w:tcBorders>
              <w:top w:val="nil"/>
              <w:left w:val="nil"/>
              <w:bottom w:val="single" w:sz="4" w:space="0" w:color="auto"/>
              <w:right w:val="single" w:sz="4" w:space="0" w:color="auto"/>
            </w:tcBorders>
            <w:shd w:val="clear" w:color="auto" w:fill="auto"/>
            <w:vAlign w:val="center"/>
          </w:tcPr>
          <w:p w14:paraId="6019B9D1" w14:textId="714B3A44" w:rsidR="00A218FA" w:rsidRPr="00EA444B" w:rsidRDefault="00A218FA" w:rsidP="00940436">
            <w:pPr>
              <w:spacing w:line="240" w:lineRule="auto"/>
            </w:pPr>
            <w:r w:rsidRPr="00EA444B">
              <w:t>Next Generation Very Long Baseline Array</w:t>
            </w:r>
          </w:p>
        </w:tc>
      </w:tr>
      <w:tr w:rsidR="0053778B" w:rsidRPr="00EA444B" w14:paraId="41DC4918"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6DB9678" w14:textId="77777777" w:rsidR="0053778B" w:rsidRPr="00EA444B" w:rsidRDefault="0053778B" w:rsidP="00940436">
            <w:pPr>
              <w:spacing w:line="240" w:lineRule="auto"/>
            </w:pPr>
            <w:r w:rsidRPr="00EA444B">
              <w:t>NM</w:t>
            </w:r>
          </w:p>
        </w:tc>
        <w:tc>
          <w:tcPr>
            <w:tcW w:w="6800" w:type="dxa"/>
            <w:tcBorders>
              <w:top w:val="nil"/>
              <w:left w:val="nil"/>
              <w:bottom w:val="single" w:sz="4" w:space="0" w:color="auto"/>
              <w:right w:val="single" w:sz="4" w:space="0" w:color="auto"/>
            </w:tcBorders>
            <w:shd w:val="clear" w:color="auto" w:fill="auto"/>
            <w:vAlign w:val="center"/>
            <w:hideMark/>
          </w:tcPr>
          <w:p w14:paraId="41284B44" w14:textId="77777777" w:rsidR="0053778B" w:rsidRPr="00EA444B" w:rsidRDefault="0053778B" w:rsidP="00940436">
            <w:pPr>
              <w:spacing w:line="240" w:lineRule="auto"/>
            </w:pPr>
            <w:r w:rsidRPr="00EA444B">
              <w:t>New Mexico</w:t>
            </w:r>
          </w:p>
        </w:tc>
      </w:tr>
      <w:tr w:rsidR="0053778B" w:rsidRPr="00EA444B" w14:paraId="46B66219"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CEBF2" w14:textId="77777777" w:rsidR="0053778B" w:rsidRPr="00EA444B" w:rsidRDefault="0053778B" w:rsidP="00940436">
            <w:pPr>
              <w:spacing w:line="240" w:lineRule="auto"/>
            </w:pPr>
            <w:r w:rsidRPr="00EA444B">
              <w:t>NRAO</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46EAB" w14:textId="77777777" w:rsidR="0053778B" w:rsidRPr="00EA444B" w:rsidRDefault="0053778B" w:rsidP="00940436">
            <w:pPr>
              <w:spacing w:line="240" w:lineRule="auto"/>
            </w:pPr>
            <w:r w:rsidRPr="00EA444B">
              <w:t>National Radio Astronomy Observatory</w:t>
            </w:r>
          </w:p>
        </w:tc>
      </w:tr>
      <w:tr w:rsidR="0053778B" w:rsidRPr="00EA444B" w14:paraId="2CD1A5E5"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E39F6" w14:textId="77777777" w:rsidR="0053778B" w:rsidRPr="00EA444B" w:rsidRDefault="0053778B" w:rsidP="00940436">
            <w:pPr>
              <w:spacing w:line="240" w:lineRule="auto"/>
            </w:pPr>
            <w:r w:rsidRPr="00EA444B">
              <w:t>NRQZ</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31628D40" w14:textId="77777777" w:rsidR="0053778B" w:rsidRPr="00EA444B" w:rsidRDefault="0053778B" w:rsidP="00940436">
            <w:pPr>
              <w:spacing w:line="240" w:lineRule="auto"/>
            </w:pPr>
            <w:r w:rsidRPr="00EA444B">
              <w:t>National Radio Quiet Zone</w:t>
            </w:r>
          </w:p>
        </w:tc>
      </w:tr>
      <w:tr w:rsidR="0053778B" w:rsidRPr="00EA444B" w14:paraId="0F6AFAB3"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1D60D46" w14:textId="77777777" w:rsidR="0053778B" w:rsidRPr="00EA444B" w:rsidRDefault="0053778B" w:rsidP="00940436">
            <w:pPr>
              <w:spacing w:line="240" w:lineRule="auto"/>
            </w:pPr>
            <w:r w:rsidRPr="00EA444B">
              <w:t>NSF</w:t>
            </w:r>
          </w:p>
        </w:tc>
        <w:tc>
          <w:tcPr>
            <w:tcW w:w="6800" w:type="dxa"/>
            <w:tcBorders>
              <w:top w:val="nil"/>
              <w:left w:val="nil"/>
              <w:bottom w:val="single" w:sz="4" w:space="0" w:color="auto"/>
              <w:right w:val="single" w:sz="4" w:space="0" w:color="auto"/>
            </w:tcBorders>
            <w:shd w:val="clear" w:color="auto" w:fill="auto"/>
            <w:vAlign w:val="center"/>
            <w:hideMark/>
          </w:tcPr>
          <w:p w14:paraId="0BC7EA0F" w14:textId="77777777" w:rsidR="0053778B" w:rsidRPr="00EA444B" w:rsidRDefault="0053778B" w:rsidP="00940436">
            <w:pPr>
              <w:spacing w:line="240" w:lineRule="auto"/>
            </w:pPr>
            <w:r w:rsidRPr="00EA444B">
              <w:t>National Science Foundation</w:t>
            </w:r>
          </w:p>
        </w:tc>
      </w:tr>
      <w:tr w:rsidR="0053778B" w:rsidRPr="00EA444B" w14:paraId="5C90D706"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62066CF" w14:textId="77777777" w:rsidR="0053778B" w:rsidRPr="00EA444B" w:rsidRDefault="0053778B" w:rsidP="00940436">
            <w:pPr>
              <w:spacing w:line="240" w:lineRule="auto"/>
            </w:pPr>
            <w:r w:rsidRPr="00EA444B">
              <w:t>NSF-AST</w:t>
            </w:r>
          </w:p>
        </w:tc>
        <w:tc>
          <w:tcPr>
            <w:tcW w:w="6800" w:type="dxa"/>
            <w:tcBorders>
              <w:top w:val="nil"/>
              <w:left w:val="nil"/>
              <w:bottom w:val="single" w:sz="4" w:space="0" w:color="auto"/>
              <w:right w:val="single" w:sz="4" w:space="0" w:color="auto"/>
            </w:tcBorders>
            <w:shd w:val="clear" w:color="auto" w:fill="auto"/>
            <w:vAlign w:val="center"/>
            <w:hideMark/>
          </w:tcPr>
          <w:p w14:paraId="7414C9DB" w14:textId="77777777" w:rsidR="0053778B" w:rsidRPr="00EA444B" w:rsidRDefault="0053778B" w:rsidP="00940436">
            <w:pPr>
              <w:spacing w:line="240" w:lineRule="auto"/>
            </w:pPr>
            <w:r w:rsidRPr="00EA444B">
              <w:t>National Science Foundation - Division of Astronomical Sciences</w:t>
            </w:r>
          </w:p>
        </w:tc>
      </w:tr>
      <w:tr w:rsidR="0053778B" w:rsidRPr="00EA444B" w14:paraId="64777CF4"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B95D82C" w14:textId="77777777" w:rsidR="0053778B" w:rsidRPr="00EA444B" w:rsidRDefault="0053778B" w:rsidP="00940436">
            <w:pPr>
              <w:spacing w:line="240" w:lineRule="auto"/>
            </w:pPr>
            <w:r w:rsidRPr="00EA444B">
              <w:lastRenderedPageBreak/>
              <w:t>NWNH</w:t>
            </w:r>
          </w:p>
        </w:tc>
        <w:tc>
          <w:tcPr>
            <w:tcW w:w="6800" w:type="dxa"/>
            <w:tcBorders>
              <w:top w:val="nil"/>
              <w:left w:val="nil"/>
              <w:bottom w:val="single" w:sz="4" w:space="0" w:color="auto"/>
              <w:right w:val="single" w:sz="4" w:space="0" w:color="auto"/>
            </w:tcBorders>
            <w:shd w:val="clear" w:color="auto" w:fill="auto"/>
            <w:vAlign w:val="center"/>
            <w:hideMark/>
          </w:tcPr>
          <w:p w14:paraId="7E92E566" w14:textId="77777777" w:rsidR="0053778B" w:rsidRPr="00EA444B" w:rsidRDefault="0053778B" w:rsidP="00940436">
            <w:pPr>
              <w:spacing w:line="240" w:lineRule="auto"/>
            </w:pPr>
            <w:r w:rsidRPr="00EA444B">
              <w:t>New Worlds, New Horizons</w:t>
            </w:r>
          </w:p>
        </w:tc>
      </w:tr>
      <w:tr w:rsidR="0053778B" w:rsidRPr="00EA444B" w14:paraId="656DE014"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7018311" w14:textId="77777777" w:rsidR="0053778B" w:rsidRPr="00EA444B" w:rsidRDefault="0053778B" w:rsidP="00940436">
            <w:pPr>
              <w:spacing w:line="240" w:lineRule="auto"/>
            </w:pPr>
            <w:proofErr w:type="spellStart"/>
            <w:r w:rsidRPr="00EA444B">
              <w:t>NxGen</w:t>
            </w:r>
            <w:proofErr w:type="spellEnd"/>
          </w:p>
        </w:tc>
        <w:tc>
          <w:tcPr>
            <w:tcW w:w="6800" w:type="dxa"/>
            <w:tcBorders>
              <w:top w:val="nil"/>
              <w:left w:val="nil"/>
              <w:bottom w:val="single" w:sz="4" w:space="0" w:color="auto"/>
              <w:right w:val="single" w:sz="4" w:space="0" w:color="auto"/>
            </w:tcBorders>
            <w:shd w:val="clear" w:color="auto" w:fill="auto"/>
            <w:noWrap/>
            <w:vAlign w:val="center"/>
            <w:hideMark/>
          </w:tcPr>
          <w:p w14:paraId="700E08A0" w14:textId="77777777" w:rsidR="0053778B" w:rsidRPr="00EA444B" w:rsidRDefault="0053778B" w:rsidP="00940436">
            <w:pPr>
              <w:spacing w:line="240" w:lineRule="auto"/>
            </w:pPr>
            <w:r w:rsidRPr="00EA444B">
              <w:t xml:space="preserve">Next Generation Science Standards </w:t>
            </w:r>
          </w:p>
        </w:tc>
      </w:tr>
      <w:tr w:rsidR="0053778B" w:rsidRPr="00EA444B" w14:paraId="30B54B0D"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33A4624" w14:textId="77777777" w:rsidR="0053778B" w:rsidRPr="00EA444B" w:rsidRDefault="0053778B" w:rsidP="00940436">
            <w:pPr>
              <w:spacing w:line="240" w:lineRule="auto"/>
            </w:pPr>
            <w:r w:rsidRPr="00EA444B">
              <w:t>OMT</w:t>
            </w:r>
          </w:p>
        </w:tc>
        <w:tc>
          <w:tcPr>
            <w:tcW w:w="6800" w:type="dxa"/>
            <w:tcBorders>
              <w:top w:val="nil"/>
              <w:left w:val="nil"/>
              <w:bottom w:val="single" w:sz="4" w:space="0" w:color="auto"/>
              <w:right w:val="single" w:sz="4" w:space="0" w:color="auto"/>
            </w:tcBorders>
            <w:shd w:val="clear" w:color="auto" w:fill="auto"/>
            <w:vAlign w:val="center"/>
            <w:hideMark/>
          </w:tcPr>
          <w:p w14:paraId="2DA1BBFB" w14:textId="77777777" w:rsidR="0053778B" w:rsidRPr="00EA444B" w:rsidRDefault="0053778B" w:rsidP="00940436">
            <w:pPr>
              <w:spacing w:line="240" w:lineRule="auto"/>
            </w:pPr>
            <w:proofErr w:type="spellStart"/>
            <w:r w:rsidRPr="00EA444B">
              <w:t>OrthoMode</w:t>
            </w:r>
            <w:proofErr w:type="spellEnd"/>
            <w:r w:rsidRPr="00EA444B">
              <w:t xml:space="preserve"> Transducer</w:t>
            </w:r>
          </w:p>
        </w:tc>
      </w:tr>
      <w:tr w:rsidR="0053778B" w:rsidRPr="00EA444B" w14:paraId="3D0E20B9"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60CF469" w14:textId="77777777" w:rsidR="0053778B" w:rsidRPr="00EA444B" w:rsidRDefault="0053778B" w:rsidP="00940436">
            <w:pPr>
              <w:spacing w:line="240" w:lineRule="auto"/>
            </w:pPr>
            <w:r w:rsidRPr="00EA444B">
              <w:t>OV</w:t>
            </w:r>
          </w:p>
        </w:tc>
        <w:tc>
          <w:tcPr>
            <w:tcW w:w="6800" w:type="dxa"/>
            <w:tcBorders>
              <w:top w:val="nil"/>
              <w:left w:val="nil"/>
              <w:bottom w:val="single" w:sz="4" w:space="0" w:color="auto"/>
              <w:right w:val="single" w:sz="4" w:space="0" w:color="auto"/>
            </w:tcBorders>
            <w:shd w:val="clear" w:color="auto" w:fill="auto"/>
            <w:vAlign w:val="center"/>
            <w:hideMark/>
          </w:tcPr>
          <w:p w14:paraId="2A092CF3" w14:textId="77777777" w:rsidR="0053778B" w:rsidRPr="00EA444B" w:rsidRDefault="0053778B" w:rsidP="00940436">
            <w:pPr>
              <w:spacing w:line="240" w:lineRule="auto"/>
            </w:pPr>
            <w:r w:rsidRPr="00EA444B">
              <w:t>Owens Valley, California</w:t>
            </w:r>
          </w:p>
        </w:tc>
      </w:tr>
      <w:tr w:rsidR="00213E20" w:rsidRPr="00EA444B" w14:paraId="5CAE0849"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0F9CAA0D" w14:textId="5C0D8F89" w:rsidR="00213E20" w:rsidRPr="00EA444B" w:rsidRDefault="00213E20" w:rsidP="00940436">
            <w:pPr>
              <w:spacing w:line="240" w:lineRule="auto"/>
            </w:pPr>
            <w:r w:rsidRPr="00EA444B">
              <w:t>PAF</w:t>
            </w:r>
          </w:p>
        </w:tc>
        <w:tc>
          <w:tcPr>
            <w:tcW w:w="6800" w:type="dxa"/>
            <w:tcBorders>
              <w:top w:val="nil"/>
              <w:left w:val="nil"/>
              <w:bottom w:val="single" w:sz="4" w:space="0" w:color="auto"/>
              <w:right w:val="single" w:sz="4" w:space="0" w:color="auto"/>
            </w:tcBorders>
            <w:shd w:val="clear" w:color="auto" w:fill="auto"/>
            <w:vAlign w:val="center"/>
          </w:tcPr>
          <w:p w14:paraId="0834625C" w14:textId="0F8D507C" w:rsidR="00213E20" w:rsidRPr="00EA444B" w:rsidRDefault="00213E20" w:rsidP="00940436">
            <w:pPr>
              <w:spacing w:line="240" w:lineRule="auto"/>
            </w:pPr>
            <w:r w:rsidRPr="00EA444B">
              <w:t>Phased Array Feed</w:t>
            </w:r>
          </w:p>
        </w:tc>
      </w:tr>
      <w:tr w:rsidR="0053778B" w:rsidRPr="00EA444B" w14:paraId="045EA73B"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20A26C2" w14:textId="77777777" w:rsidR="0053778B" w:rsidRPr="00EA444B" w:rsidRDefault="0053778B" w:rsidP="00940436">
            <w:pPr>
              <w:spacing w:line="240" w:lineRule="auto"/>
            </w:pPr>
            <w:r w:rsidRPr="00EA444B">
              <w:t>PF1</w:t>
            </w:r>
          </w:p>
        </w:tc>
        <w:tc>
          <w:tcPr>
            <w:tcW w:w="6800" w:type="dxa"/>
            <w:tcBorders>
              <w:top w:val="nil"/>
              <w:left w:val="nil"/>
              <w:bottom w:val="single" w:sz="4" w:space="0" w:color="auto"/>
              <w:right w:val="single" w:sz="4" w:space="0" w:color="auto"/>
            </w:tcBorders>
            <w:shd w:val="clear" w:color="auto" w:fill="auto"/>
            <w:vAlign w:val="center"/>
            <w:hideMark/>
          </w:tcPr>
          <w:p w14:paraId="3A7DBA3E" w14:textId="77777777" w:rsidR="0053778B" w:rsidRPr="00EA444B" w:rsidRDefault="0053778B" w:rsidP="00940436">
            <w:pPr>
              <w:spacing w:line="240" w:lineRule="auto"/>
            </w:pPr>
            <w:r w:rsidRPr="00EA444B">
              <w:t>Prime Focus 1 receiver</w:t>
            </w:r>
          </w:p>
        </w:tc>
      </w:tr>
      <w:tr w:rsidR="0053778B" w:rsidRPr="00EA444B" w14:paraId="7AEF2A74"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E423995" w14:textId="77777777" w:rsidR="0053778B" w:rsidRPr="00EA444B" w:rsidRDefault="0053778B" w:rsidP="00940436">
            <w:pPr>
              <w:spacing w:line="240" w:lineRule="auto"/>
            </w:pPr>
            <w:r w:rsidRPr="00EA444B">
              <w:t>PF2</w:t>
            </w:r>
          </w:p>
        </w:tc>
        <w:tc>
          <w:tcPr>
            <w:tcW w:w="6800" w:type="dxa"/>
            <w:tcBorders>
              <w:top w:val="nil"/>
              <w:left w:val="nil"/>
              <w:bottom w:val="single" w:sz="4" w:space="0" w:color="auto"/>
              <w:right w:val="single" w:sz="4" w:space="0" w:color="auto"/>
            </w:tcBorders>
            <w:shd w:val="clear" w:color="auto" w:fill="auto"/>
            <w:vAlign w:val="center"/>
            <w:hideMark/>
          </w:tcPr>
          <w:p w14:paraId="0DA7D6FC" w14:textId="77777777" w:rsidR="0053778B" w:rsidRPr="00EA444B" w:rsidRDefault="0053778B" w:rsidP="00940436">
            <w:pPr>
              <w:spacing w:line="240" w:lineRule="auto"/>
            </w:pPr>
            <w:r w:rsidRPr="00EA444B">
              <w:t>Prime Focus 2 receiver</w:t>
            </w:r>
          </w:p>
        </w:tc>
      </w:tr>
      <w:tr w:rsidR="00D12889" w:rsidRPr="00EA444B" w14:paraId="3D32353C"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5150D3C6" w14:textId="00961972" w:rsidR="00D12889" w:rsidRPr="00EA444B" w:rsidRDefault="00D12889" w:rsidP="00940436">
            <w:pPr>
              <w:spacing w:line="240" w:lineRule="auto"/>
            </w:pPr>
            <w:r w:rsidRPr="00EA444B">
              <w:t>PFS</w:t>
            </w:r>
          </w:p>
        </w:tc>
        <w:tc>
          <w:tcPr>
            <w:tcW w:w="6800" w:type="dxa"/>
            <w:tcBorders>
              <w:top w:val="nil"/>
              <w:left w:val="nil"/>
              <w:bottom w:val="single" w:sz="4" w:space="0" w:color="auto"/>
              <w:right w:val="single" w:sz="4" w:space="0" w:color="auto"/>
            </w:tcBorders>
            <w:shd w:val="clear" w:color="auto" w:fill="auto"/>
            <w:vAlign w:val="center"/>
          </w:tcPr>
          <w:p w14:paraId="24D93E27" w14:textId="7038FA85" w:rsidR="00D12889" w:rsidRPr="00EA444B" w:rsidRDefault="00D12889" w:rsidP="00940436">
            <w:pPr>
              <w:spacing w:line="240" w:lineRule="auto"/>
            </w:pPr>
            <w:r w:rsidRPr="00EA444B">
              <w:t>Portable Fast Sampler</w:t>
            </w:r>
          </w:p>
        </w:tc>
      </w:tr>
      <w:tr w:rsidR="0053778B" w:rsidRPr="00EA444B" w14:paraId="1895176D"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763CD76" w14:textId="77777777" w:rsidR="0053778B" w:rsidRPr="00EA444B" w:rsidRDefault="0053778B" w:rsidP="00940436">
            <w:pPr>
              <w:spacing w:line="240" w:lineRule="auto"/>
            </w:pPr>
            <w:r w:rsidRPr="00EA444B">
              <w:t>PI</w:t>
            </w:r>
          </w:p>
        </w:tc>
        <w:tc>
          <w:tcPr>
            <w:tcW w:w="6800" w:type="dxa"/>
            <w:tcBorders>
              <w:top w:val="nil"/>
              <w:left w:val="nil"/>
              <w:bottom w:val="single" w:sz="4" w:space="0" w:color="auto"/>
              <w:right w:val="single" w:sz="4" w:space="0" w:color="auto"/>
            </w:tcBorders>
            <w:shd w:val="clear" w:color="auto" w:fill="auto"/>
            <w:vAlign w:val="center"/>
            <w:hideMark/>
          </w:tcPr>
          <w:p w14:paraId="0ACDE9F5" w14:textId="1E1A28C0" w:rsidR="0053778B" w:rsidRPr="00EA444B" w:rsidRDefault="0053778B" w:rsidP="00940436">
            <w:pPr>
              <w:spacing w:line="240" w:lineRule="auto"/>
            </w:pPr>
            <w:r w:rsidRPr="00EA444B">
              <w:t>Princip</w:t>
            </w:r>
            <w:r w:rsidR="00DF2835" w:rsidRPr="00EA444B">
              <w:t>a</w:t>
            </w:r>
            <w:r w:rsidRPr="00EA444B">
              <w:t>l Investigator</w:t>
            </w:r>
          </w:p>
        </w:tc>
      </w:tr>
      <w:tr w:rsidR="0053778B" w:rsidRPr="00EA444B" w14:paraId="2928D67F"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AB065A6" w14:textId="77777777" w:rsidR="0053778B" w:rsidRPr="00EA444B" w:rsidRDefault="0053778B" w:rsidP="00940436">
            <w:pPr>
              <w:spacing w:line="240" w:lineRule="auto"/>
            </w:pPr>
            <w:r w:rsidRPr="00EA444B">
              <w:t>PING</w:t>
            </w:r>
          </w:p>
        </w:tc>
        <w:tc>
          <w:tcPr>
            <w:tcW w:w="6800" w:type="dxa"/>
            <w:tcBorders>
              <w:top w:val="nil"/>
              <w:left w:val="nil"/>
              <w:bottom w:val="single" w:sz="4" w:space="0" w:color="auto"/>
              <w:right w:val="single" w:sz="4" w:space="0" w:color="auto"/>
            </w:tcBorders>
            <w:shd w:val="clear" w:color="auto" w:fill="auto"/>
            <w:vAlign w:val="center"/>
            <w:hideMark/>
          </w:tcPr>
          <w:p w14:paraId="4C385BDC" w14:textId="77777777" w:rsidR="0053778B" w:rsidRPr="00EA444B" w:rsidRDefault="0053778B" w:rsidP="00940436">
            <w:pPr>
              <w:spacing w:line="240" w:lineRule="auto"/>
            </w:pPr>
            <w:r w:rsidRPr="00EA444B">
              <w:t>Physics Inspiring the Next Generation</w:t>
            </w:r>
          </w:p>
        </w:tc>
      </w:tr>
      <w:tr w:rsidR="0053778B" w:rsidRPr="00EA444B" w14:paraId="34740BA1" w14:textId="77777777" w:rsidTr="007E581D">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EB99C3B" w14:textId="77777777" w:rsidR="0053778B" w:rsidRPr="00EA444B" w:rsidRDefault="0053778B" w:rsidP="00940436">
            <w:pPr>
              <w:spacing w:line="240" w:lineRule="auto"/>
            </w:pPr>
            <w:r w:rsidRPr="00EA444B">
              <w:t>PMD</w:t>
            </w:r>
          </w:p>
        </w:tc>
        <w:tc>
          <w:tcPr>
            <w:tcW w:w="6800" w:type="dxa"/>
            <w:tcBorders>
              <w:top w:val="nil"/>
              <w:left w:val="nil"/>
              <w:bottom w:val="single" w:sz="4" w:space="0" w:color="auto"/>
              <w:right w:val="single" w:sz="4" w:space="0" w:color="auto"/>
            </w:tcBorders>
            <w:shd w:val="clear" w:color="auto" w:fill="auto"/>
            <w:vAlign w:val="center"/>
            <w:hideMark/>
          </w:tcPr>
          <w:p w14:paraId="51AB51F5" w14:textId="77777777" w:rsidR="0053778B" w:rsidRPr="00EA444B" w:rsidRDefault="0053778B" w:rsidP="00940436">
            <w:pPr>
              <w:spacing w:line="240" w:lineRule="auto"/>
            </w:pPr>
            <w:r w:rsidRPr="00EA444B">
              <w:t>Program Management Department</w:t>
            </w:r>
          </w:p>
        </w:tc>
      </w:tr>
      <w:tr w:rsidR="00545CE7" w:rsidRPr="00EA444B" w14:paraId="0D552728" w14:textId="77777777" w:rsidTr="007E581D">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3D36E40" w14:textId="0381E47E" w:rsidR="00545CE7" w:rsidRPr="00EA444B" w:rsidRDefault="00545CE7" w:rsidP="00940436">
            <w:pPr>
              <w:spacing w:line="240" w:lineRule="auto"/>
            </w:pPr>
            <w:r w:rsidRPr="00EA444B">
              <w:t>PMI</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tcPr>
          <w:p w14:paraId="01394693" w14:textId="5359EEBD" w:rsidR="00545CE7" w:rsidRPr="00EA444B" w:rsidRDefault="00545CE7" w:rsidP="00940436">
            <w:pPr>
              <w:spacing w:line="240" w:lineRule="auto"/>
            </w:pPr>
            <w:r w:rsidRPr="00EA444B">
              <w:t>Project Management Institute</w:t>
            </w:r>
          </w:p>
        </w:tc>
      </w:tr>
      <w:tr w:rsidR="0053778B" w:rsidRPr="00EA444B" w14:paraId="32A39621" w14:textId="77777777" w:rsidTr="007E581D">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F0158" w14:textId="77777777" w:rsidR="0053778B" w:rsidRPr="00EA444B" w:rsidRDefault="0053778B" w:rsidP="00940436">
            <w:pPr>
              <w:spacing w:line="240" w:lineRule="auto"/>
            </w:pPr>
            <w:r w:rsidRPr="00EA444B">
              <w:t>POP</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06136F5A" w14:textId="77777777" w:rsidR="0053778B" w:rsidRPr="00EA444B" w:rsidRDefault="0053778B" w:rsidP="00940436">
            <w:pPr>
              <w:spacing w:line="240" w:lineRule="auto"/>
            </w:pPr>
            <w:r w:rsidRPr="00EA444B">
              <w:t>Program Operating Plan</w:t>
            </w:r>
          </w:p>
        </w:tc>
      </w:tr>
      <w:tr w:rsidR="0053778B" w:rsidRPr="00EA444B" w14:paraId="51BC8A15"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A0DF1F9" w14:textId="77777777" w:rsidR="0053778B" w:rsidRPr="00EA444B" w:rsidRDefault="0053778B" w:rsidP="00940436">
            <w:pPr>
              <w:spacing w:line="240" w:lineRule="auto"/>
            </w:pPr>
            <w:r w:rsidRPr="00EA444B">
              <w:t>PROMPT</w:t>
            </w:r>
          </w:p>
        </w:tc>
        <w:tc>
          <w:tcPr>
            <w:tcW w:w="6800" w:type="dxa"/>
            <w:tcBorders>
              <w:top w:val="nil"/>
              <w:left w:val="nil"/>
              <w:bottom w:val="single" w:sz="4" w:space="0" w:color="auto"/>
              <w:right w:val="single" w:sz="4" w:space="0" w:color="auto"/>
            </w:tcBorders>
            <w:shd w:val="clear" w:color="auto" w:fill="auto"/>
            <w:noWrap/>
            <w:vAlign w:val="center"/>
            <w:hideMark/>
          </w:tcPr>
          <w:p w14:paraId="3408D412" w14:textId="77777777" w:rsidR="0053778B" w:rsidRPr="00EA444B" w:rsidRDefault="0053778B" w:rsidP="00940436">
            <w:pPr>
              <w:spacing w:line="240" w:lineRule="auto"/>
            </w:pPr>
            <w:r w:rsidRPr="00EA444B">
              <w:t xml:space="preserve">Panchromatic Robotic Optical Monitoring and Polarimetry Telescopes </w:t>
            </w:r>
          </w:p>
        </w:tc>
      </w:tr>
      <w:tr w:rsidR="0053778B" w:rsidRPr="00EA444B" w14:paraId="36908477"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90A35C6" w14:textId="77777777" w:rsidR="0053778B" w:rsidRPr="00EA444B" w:rsidRDefault="0053778B" w:rsidP="00940436">
            <w:pPr>
              <w:spacing w:line="240" w:lineRule="auto"/>
            </w:pPr>
            <w:r w:rsidRPr="00EA444B">
              <w:t>PSC</w:t>
            </w:r>
          </w:p>
        </w:tc>
        <w:tc>
          <w:tcPr>
            <w:tcW w:w="6800" w:type="dxa"/>
            <w:tcBorders>
              <w:top w:val="nil"/>
              <w:left w:val="nil"/>
              <w:bottom w:val="single" w:sz="4" w:space="0" w:color="auto"/>
              <w:right w:val="single" w:sz="4" w:space="0" w:color="auto"/>
            </w:tcBorders>
            <w:shd w:val="clear" w:color="auto" w:fill="auto"/>
            <w:vAlign w:val="center"/>
            <w:hideMark/>
          </w:tcPr>
          <w:p w14:paraId="27BDC738" w14:textId="77777777" w:rsidR="0053778B" w:rsidRPr="00EA444B" w:rsidRDefault="0053778B" w:rsidP="00940436">
            <w:pPr>
              <w:spacing w:line="240" w:lineRule="auto"/>
            </w:pPr>
            <w:r w:rsidRPr="00EA444B">
              <w:t>Pulsar Search Collaboratory</w:t>
            </w:r>
          </w:p>
        </w:tc>
      </w:tr>
      <w:tr w:rsidR="0053778B" w:rsidRPr="00EA444B" w14:paraId="4821E4BE"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13689E4" w14:textId="77777777" w:rsidR="0053778B" w:rsidRPr="00EA444B" w:rsidRDefault="0053778B" w:rsidP="00940436">
            <w:pPr>
              <w:spacing w:line="240" w:lineRule="auto"/>
            </w:pPr>
            <w:r w:rsidRPr="00EA444B">
              <w:t>PST</w:t>
            </w:r>
          </w:p>
        </w:tc>
        <w:tc>
          <w:tcPr>
            <w:tcW w:w="6800" w:type="dxa"/>
            <w:tcBorders>
              <w:top w:val="nil"/>
              <w:left w:val="nil"/>
              <w:bottom w:val="single" w:sz="4" w:space="0" w:color="auto"/>
              <w:right w:val="single" w:sz="4" w:space="0" w:color="auto"/>
            </w:tcBorders>
            <w:shd w:val="clear" w:color="auto" w:fill="auto"/>
            <w:vAlign w:val="center"/>
            <w:hideMark/>
          </w:tcPr>
          <w:p w14:paraId="0454E6AB" w14:textId="77777777" w:rsidR="0053778B" w:rsidRPr="00EA444B" w:rsidRDefault="0053778B" w:rsidP="00940436">
            <w:pPr>
              <w:spacing w:line="240" w:lineRule="auto"/>
            </w:pPr>
            <w:r w:rsidRPr="00EA444B">
              <w:t>Proposal Submission Tool</w:t>
            </w:r>
          </w:p>
        </w:tc>
      </w:tr>
      <w:tr w:rsidR="00334960" w:rsidRPr="00EA444B" w14:paraId="53059967"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53F0629B" w14:textId="3D10F459" w:rsidR="00334960" w:rsidRPr="00EA444B" w:rsidRDefault="00334960" w:rsidP="00940436">
            <w:pPr>
              <w:spacing w:line="240" w:lineRule="auto"/>
            </w:pPr>
            <w:r w:rsidRPr="00EA444B">
              <w:t>PTA</w:t>
            </w:r>
          </w:p>
        </w:tc>
        <w:tc>
          <w:tcPr>
            <w:tcW w:w="6800" w:type="dxa"/>
            <w:tcBorders>
              <w:top w:val="nil"/>
              <w:left w:val="nil"/>
              <w:bottom w:val="single" w:sz="4" w:space="0" w:color="auto"/>
              <w:right w:val="single" w:sz="4" w:space="0" w:color="auto"/>
            </w:tcBorders>
            <w:shd w:val="clear" w:color="auto" w:fill="auto"/>
            <w:vAlign w:val="center"/>
          </w:tcPr>
          <w:p w14:paraId="4803C0BB" w14:textId="423C6E96" w:rsidR="00334960" w:rsidRPr="00EA444B" w:rsidRDefault="00334960" w:rsidP="00940436">
            <w:pPr>
              <w:spacing w:line="240" w:lineRule="auto"/>
            </w:pPr>
            <w:r w:rsidRPr="00EA444B">
              <w:t>Pulsar Timing Array</w:t>
            </w:r>
          </w:p>
        </w:tc>
      </w:tr>
      <w:tr w:rsidR="0053778B" w:rsidRPr="00EA444B" w14:paraId="1052E6AD"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5611C" w14:textId="77777777" w:rsidR="0053778B" w:rsidRPr="00EA444B" w:rsidRDefault="0053778B" w:rsidP="00940436">
            <w:pPr>
              <w:spacing w:line="240" w:lineRule="auto"/>
            </w:pPr>
            <w:r w:rsidRPr="00EA444B">
              <w:t>R&amp;D</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B25B9" w14:textId="77777777" w:rsidR="0053778B" w:rsidRPr="00EA444B" w:rsidRDefault="0053778B" w:rsidP="00940436">
            <w:pPr>
              <w:spacing w:line="240" w:lineRule="auto"/>
            </w:pPr>
            <w:r w:rsidRPr="00EA444B">
              <w:t>Research and Development</w:t>
            </w:r>
          </w:p>
        </w:tc>
      </w:tr>
      <w:tr w:rsidR="0053778B" w:rsidRPr="00EA444B" w14:paraId="5BFEE059"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844BA" w14:textId="77777777" w:rsidR="0053778B" w:rsidRPr="00EA444B" w:rsidRDefault="0053778B" w:rsidP="00940436">
            <w:pPr>
              <w:spacing w:line="240" w:lineRule="auto"/>
            </w:pPr>
            <w:r w:rsidRPr="00EA444B">
              <w:t>RDBE</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17128" w14:textId="77777777" w:rsidR="0053778B" w:rsidRPr="00EA444B" w:rsidRDefault="0053778B" w:rsidP="00940436">
            <w:pPr>
              <w:spacing w:line="240" w:lineRule="auto"/>
            </w:pPr>
            <w:r w:rsidRPr="00EA444B">
              <w:t>ROACH Digital Backend</w:t>
            </w:r>
          </w:p>
        </w:tc>
      </w:tr>
      <w:tr w:rsidR="009313A5" w:rsidRPr="00EA444B" w14:paraId="2DC6544E" w14:textId="77777777" w:rsidTr="00EE4307">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13DF320" w14:textId="717BC5AC" w:rsidR="009313A5" w:rsidRPr="00EA444B" w:rsidRDefault="009313A5" w:rsidP="00940436">
            <w:pPr>
              <w:spacing w:line="240" w:lineRule="auto"/>
            </w:pPr>
            <w:r w:rsidRPr="00EA444B">
              <w:t>RET</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tcPr>
          <w:p w14:paraId="60A4CFD7" w14:textId="0A8BA213" w:rsidR="009313A5" w:rsidRPr="00EA444B" w:rsidRDefault="009313A5" w:rsidP="00940436">
            <w:pPr>
              <w:spacing w:line="240" w:lineRule="auto"/>
            </w:pPr>
            <w:r w:rsidRPr="00EA444B">
              <w:t>Research Experience for Teachers</w:t>
            </w:r>
          </w:p>
        </w:tc>
      </w:tr>
      <w:tr w:rsidR="00741C06" w:rsidRPr="00EA444B" w14:paraId="1FD34171" w14:textId="77777777" w:rsidTr="00EE4307">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D858774" w14:textId="6601AD80" w:rsidR="00741C06" w:rsidRPr="00EA444B" w:rsidRDefault="00741C06" w:rsidP="00940436">
            <w:pPr>
              <w:spacing w:line="240" w:lineRule="auto"/>
            </w:pPr>
            <w:r w:rsidRPr="00EA444B">
              <w:t>REU</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tcPr>
          <w:p w14:paraId="16AA56DE" w14:textId="22716AC1" w:rsidR="00741C06" w:rsidRPr="00EA444B" w:rsidRDefault="00741C06" w:rsidP="00940436">
            <w:pPr>
              <w:spacing w:line="240" w:lineRule="auto"/>
            </w:pPr>
            <w:r w:rsidRPr="00EA444B">
              <w:t>Research Experience for Undergraduates</w:t>
            </w:r>
          </w:p>
        </w:tc>
      </w:tr>
      <w:tr w:rsidR="0053778B" w:rsidRPr="00EA444B" w14:paraId="69ADF0DE" w14:textId="77777777" w:rsidTr="00704211">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1A7D9" w14:textId="77777777" w:rsidR="0053778B" w:rsidRPr="00EA444B" w:rsidRDefault="0053778B" w:rsidP="00940436">
            <w:pPr>
              <w:spacing w:line="240" w:lineRule="auto"/>
            </w:pPr>
            <w:r w:rsidRPr="00EA444B">
              <w:t>RFI</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60C110CA" w14:textId="77777777" w:rsidR="0053778B" w:rsidRPr="00EA444B" w:rsidRDefault="0053778B" w:rsidP="00940436">
            <w:pPr>
              <w:spacing w:line="240" w:lineRule="auto"/>
            </w:pPr>
            <w:r w:rsidRPr="00EA444B">
              <w:t>Radio-Frequency Interference</w:t>
            </w:r>
          </w:p>
        </w:tc>
      </w:tr>
      <w:tr w:rsidR="0053778B" w:rsidRPr="00EA444B" w14:paraId="6A01542C" w14:textId="77777777" w:rsidTr="00704211">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E6C88" w14:textId="77777777" w:rsidR="0053778B" w:rsidRPr="00EA444B" w:rsidRDefault="0053778B" w:rsidP="00940436">
            <w:pPr>
              <w:spacing w:line="240" w:lineRule="auto"/>
            </w:pPr>
            <w:r w:rsidRPr="00EA444B">
              <w:t>ROACH</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68F39" w14:textId="77777777" w:rsidR="0053778B" w:rsidRPr="00EA444B" w:rsidRDefault="0053778B" w:rsidP="00940436">
            <w:pPr>
              <w:spacing w:line="240" w:lineRule="auto"/>
            </w:pPr>
            <w:r w:rsidRPr="00EA444B">
              <w:t>Reconfigurable Open Architecture Computing Hardware</w:t>
            </w:r>
          </w:p>
        </w:tc>
      </w:tr>
      <w:tr w:rsidR="0053778B" w:rsidRPr="00EA444B" w14:paraId="18933836" w14:textId="77777777" w:rsidTr="00704211">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70D5A" w14:textId="77777777" w:rsidR="0053778B" w:rsidRPr="00EA444B" w:rsidRDefault="0053778B" w:rsidP="00940436">
            <w:pPr>
              <w:spacing w:line="240" w:lineRule="auto"/>
            </w:pPr>
            <w:r w:rsidRPr="00EA444B">
              <w:t>RSRO</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399808B7" w14:textId="77777777" w:rsidR="0053778B" w:rsidRPr="00EA444B" w:rsidRDefault="0053778B" w:rsidP="00940436">
            <w:pPr>
              <w:spacing w:line="240" w:lineRule="auto"/>
            </w:pPr>
            <w:r w:rsidRPr="00EA444B">
              <w:t>Resident Shared Risk Observing</w:t>
            </w:r>
          </w:p>
        </w:tc>
      </w:tr>
      <w:tr w:rsidR="0053778B" w:rsidRPr="00EA444B" w14:paraId="072242CC" w14:textId="77777777" w:rsidTr="0010763B">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F2A59" w14:textId="77777777" w:rsidR="0053778B" w:rsidRPr="00EA444B" w:rsidRDefault="0053778B" w:rsidP="00940436">
            <w:pPr>
              <w:spacing w:line="240" w:lineRule="auto"/>
            </w:pPr>
            <w:r w:rsidRPr="00EA444B">
              <w:t>SARA</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56188E91" w14:textId="77777777" w:rsidR="0053778B" w:rsidRPr="00EA444B" w:rsidRDefault="0053778B" w:rsidP="00940436">
            <w:pPr>
              <w:spacing w:line="240" w:lineRule="auto"/>
            </w:pPr>
            <w:r w:rsidRPr="00EA444B">
              <w:t>Society of Amateur Radio Astronomers</w:t>
            </w:r>
          </w:p>
        </w:tc>
      </w:tr>
      <w:tr w:rsidR="007556F1" w:rsidRPr="00EA444B" w14:paraId="4B0E29E9" w14:textId="77777777" w:rsidTr="0010763B">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668DA2B" w14:textId="6C9A20B1" w:rsidR="007556F1" w:rsidRPr="00EA444B" w:rsidRDefault="00B24BCE" w:rsidP="00940436">
            <w:pPr>
              <w:spacing w:line="240" w:lineRule="auto"/>
            </w:pPr>
            <w:r w:rsidRPr="00EA444B">
              <w:t>SBC</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tcPr>
          <w:p w14:paraId="5F86A253" w14:textId="6A1F079E" w:rsidR="007556F1" w:rsidRPr="00EA444B" w:rsidRDefault="007556F1" w:rsidP="00940436">
            <w:pPr>
              <w:spacing w:line="240" w:lineRule="auto"/>
            </w:pPr>
            <w:r w:rsidRPr="00EA444B">
              <w:t>Single Board Computer</w:t>
            </w:r>
          </w:p>
        </w:tc>
      </w:tr>
      <w:tr w:rsidR="007556F1" w:rsidRPr="00EA444B" w14:paraId="3B616733" w14:textId="77777777" w:rsidTr="0010763B">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8B77F62" w14:textId="136FC37C" w:rsidR="007556F1" w:rsidRPr="00EA444B" w:rsidRDefault="007556F1" w:rsidP="00940436">
            <w:pPr>
              <w:spacing w:line="240" w:lineRule="auto"/>
            </w:pPr>
            <w:r w:rsidRPr="00EA444B">
              <w:t>SDD</w:t>
            </w:r>
          </w:p>
        </w:tc>
        <w:tc>
          <w:tcPr>
            <w:tcW w:w="6800" w:type="dxa"/>
            <w:tcBorders>
              <w:top w:val="single" w:sz="4" w:space="0" w:color="auto"/>
              <w:left w:val="nil"/>
              <w:bottom w:val="single" w:sz="4" w:space="0" w:color="auto"/>
              <w:right w:val="single" w:sz="4" w:space="0" w:color="auto"/>
            </w:tcBorders>
            <w:shd w:val="clear" w:color="auto" w:fill="auto"/>
            <w:vAlign w:val="center"/>
          </w:tcPr>
          <w:p w14:paraId="229EA660" w14:textId="63E73DFC" w:rsidR="007556F1" w:rsidRPr="00EA444B" w:rsidRDefault="007556F1" w:rsidP="00940436">
            <w:pPr>
              <w:spacing w:line="240" w:lineRule="auto"/>
            </w:pPr>
            <w:r w:rsidRPr="00EA444B">
              <w:t>Software Development Division</w:t>
            </w:r>
          </w:p>
        </w:tc>
      </w:tr>
      <w:tr w:rsidR="00F808D7" w:rsidRPr="00EA444B" w14:paraId="6D236D64"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32C58829" w14:textId="0BD82BFF" w:rsidR="00F808D7" w:rsidRPr="00EA444B" w:rsidRDefault="00F808D7" w:rsidP="00940436">
            <w:pPr>
              <w:spacing w:line="240" w:lineRule="auto"/>
            </w:pPr>
            <w:r w:rsidRPr="00EA444B">
              <w:lastRenderedPageBreak/>
              <w:t>SDS</w:t>
            </w:r>
          </w:p>
        </w:tc>
        <w:tc>
          <w:tcPr>
            <w:tcW w:w="6800" w:type="dxa"/>
            <w:tcBorders>
              <w:top w:val="nil"/>
              <w:left w:val="nil"/>
              <w:bottom w:val="single" w:sz="4" w:space="0" w:color="auto"/>
              <w:right w:val="single" w:sz="4" w:space="0" w:color="auto"/>
            </w:tcBorders>
            <w:shd w:val="clear" w:color="auto" w:fill="auto"/>
            <w:vAlign w:val="center"/>
          </w:tcPr>
          <w:p w14:paraId="5F0565E8" w14:textId="5318D54E" w:rsidR="00F808D7" w:rsidRPr="00EA444B" w:rsidRDefault="00F808D7" w:rsidP="00940436">
            <w:pPr>
              <w:spacing w:line="240" w:lineRule="auto"/>
            </w:pPr>
            <w:r w:rsidRPr="00EA444B">
              <w:t>Single Dish School</w:t>
            </w:r>
          </w:p>
        </w:tc>
      </w:tr>
      <w:tr w:rsidR="00545CE7" w:rsidRPr="00EA444B" w14:paraId="4D09136D"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785AF47A" w14:textId="21D9A1E2" w:rsidR="00545CE7" w:rsidRPr="00EA444B" w:rsidRDefault="00545CE7" w:rsidP="00940436">
            <w:pPr>
              <w:spacing w:line="240" w:lineRule="auto"/>
            </w:pPr>
            <w:r w:rsidRPr="00EA444B">
              <w:t>SE</w:t>
            </w:r>
          </w:p>
        </w:tc>
        <w:tc>
          <w:tcPr>
            <w:tcW w:w="6800" w:type="dxa"/>
            <w:tcBorders>
              <w:top w:val="nil"/>
              <w:left w:val="nil"/>
              <w:bottom w:val="single" w:sz="4" w:space="0" w:color="auto"/>
              <w:right w:val="single" w:sz="4" w:space="0" w:color="auto"/>
            </w:tcBorders>
            <w:shd w:val="clear" w:color="auto" w:fill="auto"/>
            <w:vAlign w:val="center"/>
          </w:tcPr>
          <w:p w14:paraId="5461F537" w14:textId="0597705A" w:rsidR="00545CE7" w:rsidRPr="00EA444B" w:rsidRDefault="00545CE7" w:rsidP="00940436">
            <w:pPr>
              <w:spacing w:line="240" w:lineRule="auto"/>
            </w:pPr>
            <w:r w:rsidRPr="00EA444B">
              <w:t>Systems Engineering</w:t>
            </w:r>
          </w:p>
        </w:tc>
      </w:tr>
      <w:tr w:rsidR="0053778B" w:rsidRPr="00EA444B" w14:paraId="2D8BA12F"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864B406" w14:textId="77777777" w:rsidR="0053778B" w:rsidRPr="00EA444B" w:rsidRDefault="0053778B" w:rsidP="00940436">
            <w:pPr>
              <w:spacing w:line="240" w:lineRule="auto"/>
            </w:pPr>
            <w:r w:rsidRPr="00EA444B">
              <w:t>SETI</w:t>
            </w:r>
          </w:p>
        </w:tc>
        <w:tc>
          <w:tcPr>
            <w:tcW w:w="6800" w:type="dxa"/>
            <w:tcBorders>
              <w:top w:val="nil"/>
              <w:left w:val="nil"/>
              <w:bottom w:val="single" w:sz="4" w:space="0" w:color="auto"/>
              <w:right w:val="single" w:sz="4" w:space="0" w:color="auto"/>
            </w:tcBorders>
            <w:shd w:val="clear" w:color="auto" w:fill="auto"/>
            <w:vAlign w:val="center"/>
            <w:hideMark/>
          </w:tcPr>
          <w:p w14:paraId="1A5AEEE6" w14:textId="77777777" w:rsidR="0053778B" w:rsidRPr="00EA444B" w:rsidRDefault="0053778B" w:rsidP="00940436">
            <w:pPr>
              <w:spacing w:line="240" w:lineRule="auto"/>
            </w:pPr>
            <w:r w:rsidRPr="00EA444B">
              <w:t>Search for Extraterrestrial Intelligence</w:t>
            </w:r>
          </w:p>
        </w:tc>
      </w:tr>
      <w:tr w:rsidR="0053778B" w:rsidRPr="00EA444B" w14:paraId="6FE64129"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0B34151" w14:textId="77777777" w:rsidR="0053778B" w:rsidRPr="00EA444B" w:rsidRDefault="0053778B" w:rsidP="00940436">
            <w:pPr>
              <w:spacing w:line="240" w:lineRule="auto"/>
            </w:pPr>
            <w:r w:rsidRPr="00EA444B">
              <w:t>SFR</w:t>
            </w:r>
          </w:p>
        </w:tc>
        <w:tc>
          <w:tcPr>
            <w:tcW w:w="6800" w:type="dxa"/>
            <w:tcBorders>
              <w:top w:val="nil"/>
              <w:left w:val="nil"/>
              <w:bottom w:val="single" w:sz="4" w:space="0" w:color="auto"/>
              <w:right w:val="single" w:sz="4" w:space="0" w:color="auto"/>
            </w:tcBorders>
            <w:shd w:val="clear" w:color="auto" w:fill="auto"/>
            <w:vAlign w:val="center"/>
            <w:hideMark/>
          </w:tcPr>
          <w:p w14:paraId="57DDB7EF" w14:textId="77777777" w:rsidR="0053778B" w:rsidRPr="00EA444B" w:rsidRDefault="0053778B" w:rsidP="00940436">
            <w:pPr>
              <w:spacing w:line="240" w:lineRule="auto"/>
            </w:pPr>
            <w:r w:rsidRPr="00EA444B">
              <w:t>Supplemental Funding Request</w:t>
            </w:r>
          </w:p>
        </w:tc>
      </w:tr>
      <w:tr w:rsidR="0053778B" w:rsidRPr="00EA444B" w14:paraId="10A0A249"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F5EACF7" w14:textId="77777777" w:rsidR="0053778B" w:rsidRPr="00EA444B" w:rsidRDefault="0053778B" w:rsidP="00940436">
            <w:pPr>
              <w:spacing w:line="240" w:lineRule="auto"/>
            </w:pPr>
            <w:r w:rsidRPr="00EA444B">
              <w:t>SHAO</w:t>
            </w:r>
          </w:p>
        </w:tc>
        <w:tc>
          <w:tcPr>
            <w:tcW w:w="6800" w:type="dxa"/>
            <w:tcBorders>
              <w:top w:val="nil"/>
              <w:left w:val="nil"/>
              <w:bottom w:val="single" w:sz="4" w:space="0" w:color="auto"/>
              <w:right w:val="single" w:sz="4" w:space="0" w:color="auto"/>
            </w:tcBorders>
            <w:shd w:val="clear" w:color="auto" w:fill="auto"/>
            <w:vAlign w:val="center"/>
            <w:hideMark/>
          </w:tcPr>
          <w:p w14:paraId="1E1E6F4D" w14:textId="77777777" w:rsidR="0053778B" w:rsidRPr="00EA444B" w:rsidRDefault="0053778B" w:rsidP="00940436">
            <w:pPr>
              <w:spacing w:line="240" w:lineRule="auto"/>
            </w:pPr>
            <w:r w:rsidRPr="00EA444B">
              <w:t>Shanghai Astronomical Observatory</w:t>
            </w:r>
          </w:p>
        </w:tc>
      </w:tr>
      <w:tr w:rsidR="00F666DD" w:rsidRPr="00EA444B" w14:paraId="4E69F479"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4FEF135A" w14:textId="62B765AE" w:rsidR="00F666DD" w:rsidRPr="00EA444B" w:rsidRDefault="00F666DD" w:rsidP="00940436">
            <w:pPr>
              <w:spacing w:line="240" w:lineRule="auto"/>
            </w:pPr>
            <w:r w:rsidRPr="00EA444B">
              <w:t>SHPO</w:t>
            </w:r>
          </w:p>
        </w:tc>
        <w:tc>
          <w:tcPr>
            <w:tcW w:w="6800" w:type="dxa"/>
            <w:tcBorders>
              <w:top w:val="nil"/>
              <w:left w:val="nil"/>
              <w:bottom w:val="single" w:sz="4" w:space="0" w:color="auto"/>
              <w:right w:val="single" w:sz="4" w:space="0" w:color="auto"/>
            </w:tcBorders>
            <w:shd w:val="clear" w:color="auto" w:fill="auto"/>
            <w:vAlign w:val="center"/>
          </w:tcPr>
          <w:p w14:paraId="21C645A1" w14:textId="0E0E2F41" w:rsidR="00F666DD" w:rsidRPr="00EA444B" w:rsidRDefault="001F3203" w:rsidP="00940436">
            <w:pPr>
              <w:spacing w:line="240" w:lineRule="auto"/>
            </w:pPr>
            <w:r w:rsidRPr="00EA444B">
              <w:t>State Historic Preservation Office (WV)</w:t>
            </w:r>
          </w:p>
        </w:tc>
      </w:tr>
      <w:tr w:rsidR="0053778B" w:rsidRPr="00EA444B" w14:paraId="1DE5762F"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7D7E7EAB" w14:textId="77777777" w:rsidR="0053778B" w:rsidRPr="00EA444B" w:rsidRDefault="0053778B" w:rsidP="00940436">
            <w:pPr>
              <w:spacing w:line="240" w:lineRule="auto"/>
            </w:pPr>
            <w:r w:rsidRPr="00EA444B">
              <w:t>SJS</w:t>
            </w:r>
          </w:p>
        </w:tc>
        <w:tc>
          <w:tcPr>
            <w:tcW w:w="6800" w:type="dxa"/>
            <w:tcBorders>
              <w:top w:val="nil"/>
              <w:left w:val="nil"/>
              <w:bottom w:val="single" w:sz="4" w:space="0" w:color="auto"/>
              <w:right w:val="single" w:sz="4" w:space="0" w:color="auto"/>
            </w:tcBorders>
            <w:shd w:val="clear" w:color="auto" w:fill="auto"/>
            <w:vAlign w:val="center"/>
            <w:hideMark/>
          </w:tcPr>
          <w:p w14:paraId="78CE5024" w14:textId="77777777" w:rsidR="0053778B" w:rsidRPr="00EA444B" w:rsidRDefault="0053778B" w:rsidP="00940436">
            <w:pPr>
              <w:spacing w:line="240" w:lineRule="auto"/>
            </w:pPr>
            <w:r w:rsidRPr="00EA444B">
              <w:t>Skynet Junior Scholars</w:t>
            </w:r>
          </w:p>
        </w:tc>
      </w:tr>
      <w:tr w:rsidR="0053778B" w:rsidRPr="00EA444B" w14:paraId="4F7AF254"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39B5B" w14:textId="77777777" w:rsidR="0053778B" w:rsidRPr="00EA444B" w:rsidRDefault="0053778B" w:rsidP="00940436">
            <w:pPr>
              <w:spacing w:line="240" w:lineRule="auto"/>
            </w:pPr>
            <w:r w:rsidRPr="00EA444B">
              <w:t>SLA</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BA0F7" w14:textId="77777777" w:rsidR="0053778B" w:rsidRPr="00EA444B" w:rsidRDefault="0053778B" w:rsidP="00940436">
            <w:pPr>
              <w:spacing w:line="240" w:lineRule="auto"/>
            </w:pPr>
            <w:r w:rsidRPr="00EA444B">
              <w:t>Service Level Agreement</w:t>
            </w:r>
          </w:p>
        </w:tc>
      </w:tr>
      <w:tr w:rsidR="00863FE6" w:rsidRPr="00EA444B" w14:paraId="1D98C815" w14:textId="77777777" w:rsidTr="00AF5B8B">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5C5E20A" w14:textId="3ABBB09A" w:rsidR="00863FE6" w:rsidRPr="00EA444B" w:rsidRDefault="00863FE6" w:rsidP="00940436">
            <w:pPr>
              <w:spacing w:line="240" w:lineRule="auto"/>
            </w:pPr>
            <w:r w:rsidRPr="00EA444B">
              <w:t>SMBH</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tcPr>
          <w:p w14:paraId="237D6BAE" w14:textId="19CDF94D" w:rsidR="00863FE6" w:rsidRPr="00EA444B" w:rsidRDefault="00863FE6" w:rsidP="00940436">
            <w:pPr>
              <w:spacing w:line="240" w:lineRule="auto"/>
            </w:pPr>
            <w:r w:rsidRPr="00EA444B">
              <w:t>Supermassive Black Holes</w:t>
            </w:r>
          </w:p>
        </w:tc>
      </w:tr>
      <w:tr w:rsidR="0053778B" w:rsidRPr="00EA444B" w14:paraId="624D4109"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F6F1C" w14:textId="77777777" w:rsidR="0053778B" w:rsidRPr="00EA444B" w:rsidRDefault="0053778B" w:rsidP="00940436">
            <w:pPr>
              <w:spacing w:line="240" w:lineRule="auto"/>
            </w:pPr>
            <w:r w:rsidRPr="00EA444B">
              <w:t>SPOT</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774662E7" w14:textId="77777777" w:rsidR="0053778B" w:rsidRPr="00EA444B" w:rsidRDefault="0053778B" w:rsidP="00940436">
            <w:pPr>
              <w:spacing w:line="240" w:lineRule="auto"/>
            </w:pPr>
            <w:r w:rsidRPr="00EA444B">
              <w:t>Space Public Outreach Team</w:t>
            </w:r>
          </w:p>
        </w:tc>
      </w:tr>
      <w:tr w:rsidR="0053778B" w:rsidRPr="00EA444B" w14:paraId="301AA81E"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48C4DFB2" w14:textId="77777777" w:rsidR="0053778B" w:rsidRPr="00EA444B" w:rsidRDefault="0053778B" w:rsidP="00940436">
            <w:pPr>
              <w:spacing w:line="240" w:lineRule="auto"/>
            </w:pPr>
            <w:r w:rsidRPr="00EA444B">
              <w:t>SQUID</w:t>
            </w:r>
          </w:p>
        </w:tc>
        <w:tc>
          <w:tcPr>
            <w:tcW w:w="6800" w:type="dxa"/>
            <w:tcBorders>
              <w:top w:val="nil"/>
              <w:left w:val="nil"/>
              <w:bottom w:val="single" w:sz="4" w:space="0" w:color="auto"/>
              <w:right w:val="single" w:sz="4" w:space="0" w:color="auto"/>
            </w:tcBorders>
            <w:shd w:val="clear" w:color="auto" w:fill="auto"/>
            <w:vAlign w:val="center"/>
            <w:hideMark/>
          </w:tcPr>
          <w:p w14:paraId="43C678F2" w14:textId="77777777" w:rsidR="0053778B" w:rsidRPr="00EA444B" w:rsidRDefault="0053778B" w:rsidP="00940436">
            <w:pPr>
              <w:spacing w:line="240" w:lineRule="auto"/>
            </w:pPr>
            <w:r w:rsidRPr="00EA444B">
              <w:t>Superconducting Quantum Interference Device</w:t>
            </w:r>
          </w:p>
        </w:tc>
      </w:tr>
      <w:tr w:rsidR="0053778B" w:rsidRPr="00EA444B" w14:paraId="26838B78"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9B05653" w14:textId="77777777" w:rsidR="0053778B" w:rsidRPr="00EA444B" w:rsidRDefault="0053778B" w:rsidP="00940436">
            <w:pPr>
              <w:spacing w:line="240" w:lineRule="auto"/>
            </w:pPr>
            <w:r w:rsidRPr="00EA444B">
              <w:t>SRO</w:t>
            </w:r>
          </w:p>
        </w:tc>
        <w:tc>
          <w:tcPr>
            <w:tcW w:w="6800" w:type="dxa"/>
            <w:tcBorders>
              <w:top w:val="nil"/>
              <w:left w:val="nil"/>
              <w:bottom w:val="single" w:sz="4" w:space="0" w:color="auto"/>
              <w:right w:val="single" w:sz="4" w:space="0" w:color="auto"/>
            </w:tcBorders>
            <w:shd w:val="clear" w:color="auto" w:fill="auto"/>
            <w:vAlign w:val="center"/>
            <w:hideMark/>
          </w:tcPr>
          <w:p w14:paraId="4CEC764F" w14:textId="77777777" w:rsidR="0053778B" w:rsidRPr="00EA444B" w:rsidRDefault="0053778B" w:rsidP="00940436">
            <w:pPr>
              <w:spacing w:line="240" w:lineRule="auto"/>
            </w:pPr>
            <w:r w:rsidRPr="00EA444B">
              <w:t>Shared Risk Observing</w:t>
            </w:r>
          </w:p>
        </w:tc>
      </w:tr>
      <w:tr w:rsidR="0053778B" w:rsidRPr="00EA444B" w14:paraId="4A9FFBFB"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F8A3B1C" w14:textId="77777777" w:rsidR="0053778B" w:rsidRPr="00EA444B" w:rsidRDefault="0053778B" w:rsidP="00940436">
            <w:pPr>
              <w:spacing w:line="240" w:lineRule="auto"/>
            </w:pPr>
            <w:r w:rsidRPr="00EA444B">
              <w:t>SRP</w:t>
            </w:r>
          </w:p>
        </w:tc>
        <w:tc>
          <w:tcPr>
            <w:tcW w:w="6800" w:type="dxa"/>
            <w:tcBorders>
              <w:top w:val="nil"/>
              <w:left w:val="nil"/>
              <w:bottom w:val="single" w:sz="4" w:space="0" w:color="auto"/>
              <w:right w:val="single" w:sz="4" w:space="0" w:color="auto"/>
            </w:tcBorders>
            <w:shd w:val="clear" w:color="auto" w:fill="auto"/>
            <w:vAlign w:val="center"/>
            <w:hideMark/>
          </w:tcPr>
          <w:p w14:paraId="150A63B6" w14:textId="77777777" w:rsidR="0053778B" w:rsidRPr="00EA444B" w:rsidRDefault="0053778B" w:rsidP="00940436">
            <w:pPr>
              <w:spacing w:line="240" w:lineRule="auto"/>
            </w:pPr>
            <w:r w:rsidRPr="00EA444B">
              <w:t>Science Review Panel</w:t>
            </w:r>
          </w:p>
        </w:tc>
      </w:tr>
      <w:tr w:rsidR="0053778B" w:rsidRPr="00EA444B" w14:paraId="21DB4D77"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2B53B" w14:textId="77777777" w:rsidR="0053778B" w:rsidRPr="00EA444B" w:rsidRDefault="0053778B" w:rsidP="00940436">
            <w:pPr>
              <w:spacing w:line="240" w:lineRule="auto"/>
            </w:pPr>
            <w:r w:rsidRPr="00EA444B">
              <w:t>SSA</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F8B98" w14:textId="77777777" w:rsidR="0053778B" w:rsidRPr="00EA444B" w:rsidRDefault="0053778B" w:rsidP="00940436">
            <w:pPr>
              <w:spacing w:line="240" w:lineRule="auto"/>
            </w:pPr>
            <w:r w:rsidRPr="00EA444B">
              <w:t>Space Situational Awareness</w:t>
            </w:r>
          </w:p>
        </w:tc>
      </w:tr>
      <w:tr w:rsidR="0053778B" w:rsidRPr="00EA444B" w14:paraId="0DC9D8AA"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7A2D2" w14:textId="6FE5296C" w:rsidR="0053778B" w:rsidRPr="00EA444B" w:rsidRDefault="0053778B" w:rsidP="00940436">
            <w:pPr>
              <w:spacing w:line="240" w:lineRule="auto"/>
            </w:pPr>
            <w:r w:rsidRPr="00EA444B">
              <w:t>STEM</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726E5543" w14:textId="45730FA4" w:rsidR="0053778B" w:rsidRPr="00EA444B" w:rsidRDefault="0053778B" w:rsidP="00940436">
            <w:pPr>
              <w:spacing w:line="240" w:lineRule="auto"/>
            </w:pPr>
            <w:r w:rsidRPr="00EA444B">
              <w:t>Science, Technology, Engineering, and Mathematics</w:t>
            </w:r>
          </w:p>
        </w:tc>
      </w:tr>
      <w:tr w:rsidR="0053778B" w:rsidRPr="00EA444B" w14:paraId="31DBE41C"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389A5D6" w14:textId="77777777" w:rsidR="0053778B" w:rsidRPr="00EA444B" w:rsidRDefault="0053778B" w:rsidP="00940436">
            <w:pPr>
              <w:spacing w:line="240" w:lineRule="auto"/>
            </w:pPr>
            <w:r w:rsidRPr="00EA444B">
              <w:t>SZE</w:t>
            </w:r>
          </w:p>
        </w:tc>
        <w:tc>
          <w:tcPr>
            <w:tcW w:w="6800" w:type="dxa"/>
            <w:tcBorders>
              <w:top w:val="nil"/>
              <w:left w:val="nil"/>
              <w:bottom w:val="single" w:sz="4" w:space="0" w:color="auto"/>
              <w:right w:val="single" w:sz="4" w:space="0" w:color="auto"/>
            </w:tcBorders>
            <w:shd w:val="clear" w:color="auto" w:fill="auto"/>
            <w:vAlign w:val="center"/>
            <w:hideMark/>
          </w:tcPr>
          <w:p w14:paraId="22ABBF70" w14:textId="48EDF3E0" w:rsidR="0053778B" w:rsidRPr="00EA444B" w:rsidRDefault="00FA1B7B" w:rsidP="00940436">
            <w:pPr>
              <w:spacing w:line="240" w:lineRule="auto"/>
            </w:pPr>
            <w:proofErr w:type="spellStart"/>
            <w:r w:rsidRPr="00EA444B">
              <w:t>Sunyaev-Zel</w:t>
            </w:r>
            <w:r w:rsidR="0053778B" w:rsidRPr="00EA444B">
              <w:t>dovich</w:t>
            </w:r>
            <w:proofErr w:type="spellEnd"/>
            <w:r w:rsidR="0053778B" w:rsidRPr="00EA444B">
              <w:t xml:space="preserve"> Effect</w:t>
            </w:r>
          </w:p>
        </w:tc>
      </w:tr>
      <w:tr w:rsidR="0053778B" w:rsidRPr="00EA444B" w14:paraId="571C14CD"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BCAD765" w14:textId="77777777" w:rsidR="0053778B" w:rsidRPr="00EA444B" w:rsidRDefault="0053778B" w:rsidP="00940436">
            <w:pPr>
              <w:spacing w:line="240" w:lineRule="auto"/>
            </w:pPr>
            <w:r w:rsidRPr="00EA444B">
              <w:t>TAC</w:t>
            </w:r>
          </w:p>
        </w:tc>
        <w:tc>
          <w:tcPr>
            <w:tcW w:w="6800" w:type="dxa"/>
            <w:tcBorders>
              <w:top w:val="nil"/>
              <w:left w:val="nil"/>
              <w:bottom w:val="single" w:sz="4" w:space="0" w:color="auto"/>
              <w:right w:val="single" w:sz="4" w:space="0" w:color="auto"/>
            </w:tcBorders>
            <w:shd w:val="clear" w:color="auto" w:fill="auto"/>
            <w:vAlign w:val="center"/>
            <w:hideMark/>
          </w:tcPr>
          <w:p w14:paraId="0FB613A3" w14:textId="77777777" w:rsidR="0053778B" w:rsidRPr="00EA444B" w:rsidRDefault="0053778B" w:rsidP="00940436">
            <w:pPr>
              <w:spacing w:line="240" w:lineRule="auto"/>
            </w:pPr>
            <w:r w:rsidRPr="00EA444B">
              <w:t>Time Allocation Committee</w:t>
            </w:r>
          </w:p>
        </w:tc>
      </w:tr>
      <w:tr w:rsidR="0053778B" w:rsidRPr="00EA444B" w14:paraId="53C97D8A"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B56EC57" w14:textId="77777777" w:rsidR="0053778B" w:rsidRPr="00EA444B" w:rsidRDefault="0053778B" w:rsidP="00940436">
            <w:pPr>
              <w:spacing w:line="240" w:lineRule="auto"/>
            </w:pPr>
            <w:r w:rsidRPr="00EA444B">
              <w:t>TES</w:t>
            </w:r>
          </w:p>
        </w:tc>
        <w:tc>
          <w:tcPr>
            <w:tcW w:w="6800" w:type="dxa"/>
            <w:tcBorders>
              <w:top w:val="nil"/>
              <w:left w:val="nil"/>
              <w:bottom w:val="single" w:sz="4" w:space="0" w:color="auto"/>
              <w:right w:val="single" w:sz="4" w:space="0" w:color="auto"/>
            </w:tcBorders>
            <w:shd w:val="clear" w:color="auto" w:fill="auto"/>
            <w:vAlign w:val="center"/>
            <w:hideMark/>
          </w:tcPr>
          <w:p w14:paraId="00B5A6B7" w14:textId="77777777" w:rsidR="0053778B" w:rsidRPr="00EA444B" w:rsidRDefault="0053778B" w:rsidP="00940436">
            <w:pPr>
              <w:spacing w:line="240" w:lineRule="auto"/>
            </w:pPr>
            <w:r w:rsidRPr="00EA444B">
              <w:t>Transition Edge Sensor</w:t>
            </w:r>
          </w:p>
        </w:tc>
      </w:tr>
      <w:tr w:rsidR="00D12889" w:rsidRPr="00EA444B" w14:paraId="088A585D"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14D34A1D" w14:textId="402C4059" w:rsidR="00D12889" w:rsidRPr="00EA444B" w:rsidRDefault="00D12889" w:rsidP="00940436">
            <w:pPr>
              <w:spacing w:line="240" w:lineRule="auto"/>
            </w:pPr>
            <w:r w:rsidRPr="00EA444B">
              <w:t>TTA</w:t>
            </w:r>
          </w:p>
        </w:tc>
        <w:tc>
          <w:tcPr>
            <w:tcW w:w="6800" w:type="dxa"/>
            <w:tcBorders>
              <w:top w:val="nil"/>
              <w:left w:val="nil"/>
              <w:bottom w:val="single" w:sz="4" w:space="0" w:color="auto"/>
              <w:right w:val="single" w:sz="4" w:space="0" w:color="auto"/>
            </w:tcBorders>
            <w:shd w:val="clear" w:color="auto" w:fill="auto"/>
            <w:vAlign w:val="center"/>
          </w:tcPr>
          <w:p w14:paraId="08CF01F2" w14:textId="457C51B0" w:rsidR="00D12889" w:rsidRPr="00EA444B" w:rsidRDefault="00D12889" w:rsidP="00940436">
            <w:pPr>
              <w:spacing w:line="240" w:lineRule="auto"/>
            </w:pPr>
            <w:r w:rsidRPr="00EA444B">
              <w:t>Telescope Time Allocation</w:t>
            </w:r>
          </w:p>
        </w:tc>
      </w:tr>
      <w:tr w:rsidR="00262CAD" w:rsidRPr="00EA444B" w14:paraId="128A6B3C"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6D938250" w14:textId="308F0054" w:rsidR="00262CAD" w:rsidRPr="00EA444B" w:rsidRDefault="00262CAD" w:rsidP="00940436">
            <w:pPr>
              <w:spacing w:line="240" w:lineRule="auto"/>
            </w:pPr>
            <w:r w:rsidRPr="00EA444B">
              <w:t>URSI</w:t>
            </w:r>
          </w:p>
        </w:tc>
        <w:tc>
          <w:tcPr>
            <w:tcW w:w="6800" w:type="dxa"/>
            <w:tcBorders>
              <w:top w:val="nil"/>
              <w:left w:val="nil"/>
              <w:bottom w:val="single" w:sz="4" w:space="0" w:color="auto"/>
              <w:right w:val="single" w:sz="4" w:space="0" w:color="auto"/>
            </w:tcBorders>
            <w:shd w:val="clear" w:color="auto" w:fill="auto"/>
            <w:vAlign w:val="center"/>
          </w:tcPr>
          <w:p w14:paraId="4EFB1CBD" w14:textId="54B1E1BA" w:rsidR="00262CAD" w:rsidRPr="00EA444B" w:rsidRDefault="00262CAD" w:rsidP="00940436">
            <w:pPr>
              <w:spacing w:line="240" w:lineRule="auto"/>
            </w:pPr>
            <w:r w:rsidRPr="00EA444B">
              <w:t>Union Radio-</w:t>
            </w:r>
            <w:proofErr w:type="spellStart"/>
            <w:r w:rsidRPr="00EA444B">
              <w:t>Scientifique</w:t>
            </w:r>
            <w:proofErr w:type="spellEnd"/>
            <w:r w:rsidRPr="00EA444B">
              <w:t xml:space="preserve"> </w:t>
            </w:r>
            <w:proofErr w:type="spellStart"/>
            <w:r w:rsidRPr="00EA444B">
              <w:t>Internationale</w:t>
            </w:r>
            <w:proofErr w:type="spellEnd"/>
          </w:p>
        </w:tc>
      </w:tr>
      <w:tr w:rsidR="00A91DCD" w:rsidRPr="00EA444B" w14:paraId="10A4717A" w14:textId="77777777" w:rsidTr="00213DD5">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09893D56" w14:textId="25B8E150" w:rsidR="00A91DCD" w:rsidRPr="00EA444B" w:rsidRDefault="00A91DCD" w:rsidP="00940436">
            <w:pPr>
              <w:spacing w:line="240" w:lineRule="auto"/>
            </w:pPr>
            <w:r w:rsidRPr="00EA444B">
              <w:t>UV</w:t>
            </w:r>
          </w:p>
        </w:tc>
        <w:tc>
          <w:tcPr>
            <w:tcW w:w="6800" w:type="dxa"/>
            <w:tcBorders>
              <w:top w:val="nil"/>
              <w:left w:val="nil"/>
              <w:bottom w:val="single" w:sz="4" w:space="0" w:color="auto"/>
              <w:right w:val="single" w:sz="4" w:space="0" w:color="auto"/>
            </w:tcBorders>
            <w:shd w:val="clear" w:color="auto" w:fill="auto"/>
            <w:vAlign w:val="center"/>
          </w:tcPr>
          <w:p w14:paraId="7102B9F2" w14:textId="593307D3" w:rsidR="00A91DCD" w:rsidRPr="00EA444B" w:rsidRDefault="00A91DCD" w:rsidP="00940436">
            <w:pPr>
              <w:spacing w:line="240" w:lineRule="auto"/>
            </w:pPr>
            <w:r w:rsidRPr="00EA444B">
              <w:t>Ultraviolet</w:t>
            </w:r>
          </w:p>
        </w:tc>
      </w:tr>
      <w:tr w:rsidR="00F808D7" w:rsidRPr="00EA444B" w14:paraId="6C16094C" w14:textId="77777777" w:rsidTr="00213DD5">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91E38C9" w14:textId="77044579" w:rsidR="00F808D7" w:rsidRPr="00EA444B" w:rsidRDefault="00F808D7" w:rsidP="00940436">
            <w:pPr>
              <w:spacing w:line="240" w:lineRule="auto"/>
            </w:pPr>
            <w:r w:rsidRPr="00EA444B">
              <w:t>UWBR</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tcPr>
          <w:p w14:paraId="77755A4C" w14:textId="49AA7206" w:rsidR="00F808D7" w:rsidRPr="00EA444B" w:rsidRDefault="00F808D7" w:rsidP="00940436">
            <w:pPr>
              <w:spacing w:line="240" w:lineRule="auto"/>
            </w:pPr>
            <w:r w:rsidRPr="00EA444B">
              <w:t xml:space="preserve">Ultra-Wideband Receiver </w:t>
            </w:r>
          </w:p>
        </w:tc>
      </w:tr>
      <w:tr w:rsidR="0053778B" w:rsidRPr="00EA444B" w14:paraId="5DB44D29" w14:textId="77777777" w:rsidTr="00213DD5">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EAC7C" w14:textId="77777777" w:rsidR="0053778B" w:rsidRPr="00EA444B" w:rsidRDefault="0053778B" w:rsidP="00940436">
            <w:pPr>
              <w:spacing w:line="240" w:lineRule="auto"/>
            </w:pPr>
            <w:r w:rsidRPr="00EA444B">
              <w:t>VEGAS</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755BCC2A" w14:textId="77777777" w:rsidR="0053778B" w:rsidRPr="00EA444B" w:rsidRDefault="0053778B" w:rsidP="00940436">
            <w:pPr>
              <w:spacing w:line="240" w:lineRule="auto"/>
            </w:pPr>
            <w:proofErr w:type="spellStart"/>
            <w:r w:rsidRPr="00EA444B">
              <w:t>VErsatile</w:t>
            </w:r>
            <w:proofErr w:type="spellEnd"/>
            <w:r w:rsidRPr="00EA444B">
              <w:t xml:space="preserve"> GBT Astronomical Spectrometer</w:t>
            </w:r>
          </w:p>
        </w:tc>
      </w:tr>
      <w:tr w:rsidR="00065C1E" w:rsidRPr="00EA444B" w14:paraId="2ADB46C9" w14:textId="77777777" w:rsidTr="007E581D">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43AAB20" w14:textId="2A7D7028" w:rsidR="00065C1E" w:rsidRPr="00EA444B" w:rsidRDefault="00065C1E" w:rsidP="00940436">
            <w:pPr>
              <w:spacing w:line="240" w:lineRule="auto"/>
            </w:pPr>
            <w:r w:rsidRPr="00EA444B">
              <w:t>VISTA</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tcPr>
          <w:p w14:paraId="39C3E2A9" w14:textId="077A01CB" w:rsidR="00065C1E" w:rsidRPr="00EA444B" w:rsidRDefault="00065C1E" w:rsidP="00940436">
            <w:pPr>
              <w:spacing w:line="240" w:lineRule="auto"/>
            </w:pPr>
            <w:r w:rsidRPr="00EA444B">
              <w:t xml:space="preserve">Volunteers in Service to America </w:t>
            </w:r>
          </w:p>
        </w:tc>
      </w:tr>
      <w:tr w:rsidR="0053778B" w:rsidRPr="00EA444B" w14:paraId="642779BB" w14:textId="77777777" w:rsidTr="007E581D">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0F8EE" w14:textId="77777777" w:rsidR="0053778B" w:rsidRPr="00EA444B" w:rsidRDefault="0053778B" w:rsidP="00940436">
            <w:pPr>
              <w:spacing w:line="240" w:lineRule="auto"/>
            </w:pPr>
            <w:r w:rsidRPr="00EA444B">
              <w:t>VLA</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655AB6E6" w14:textId="77777777" w:rsidR="0053778B" w:rsidRPr="00EA444B" w:rsidRDefault="0053778B" w:rsidP="00940436">
            <w:pPr>
              <w:spacing w:line="240" w:lineRule="auto"/>
            </w:pPr>
            <w:r w:rsidRPr="00EA444B">
              <w:t>Very Large Array</w:t>
            </w:r>
          </w:p>
        </w:tc>
      </w:tr>
      <w:tr w:rsidR="0053778B" w:rsidRPr="00EA444B" w14:paraId="6D5B8C8D"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5975F584" w14:textId="77777777" w:rsidR="0053778B" w:rsidRPr="00EA444B" w:rsidRDefault="0053778B" w:rsidP="00940436">
            <w:pPr>
              <w:spacing w:line="240" w:lineRule="auto"/>
            </w:pPr>
            <w:r w:rsidRPr="00EA444B">
              <w:t>VLBA</w:t>
            </w:r>
          </w:p>
        </w:tc>
        <w:tc>
          <w:tcPr>
            <w:tcW w:w="6800" w:type="dxa"/>
            <w:tcBorders>
              <w:top w:val="nil"/>
              <w:left w:val="nil"/>
              <w:bottom w:val="single" w:sz="4" w:space="0" w:color="auto"/>
              <w:right w:val="single" w:sz="4" w:space="0" w:color="auto"/>
            </w:tcBorders>
            <w:shd w:val="clear" w:color="auto" w:fill="auto"/>
            <w:vAlign w:val="center"/>
            <w:hideMark/>
          </w:tcPr>
          <w:p w14:paraId="1D58A917" w14:textId="77777777" w:rsidR="0053778B" w:rsidRPr="00EA444B" w:rsidRDefault="0053778B" w:rsidP="00940436">
            <w:pPr>
              <w:spacing w:line="240" w:lineRule="auto"/>
            </w:pPr>
            <w:r w:rsidRPr="00EA444B">
              <w:t>Very Long Baseline Array</w:t>
            </w:r>
          </w:p>
        </w:tc>
      </w:tr>
      <w:tr w:rsidR="0053778B" w:rsidRPr="00EA444B" w14:paraId="32DA6E5F"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6C2BFC13" w14:textId="77777777" w:rsidR="0053778B" w:rsidRPr="00EA444B" w:rsidRDefault="0053778B" w:rsidP="00940436">
            <w:pPr>
              <w:spacing w:line="240" w:lineRule="auto"/>
            </w:pPr>
            <w:r w:rsidRPr="00EA444B">
              <w:t>VLBI</w:t>
            </w:r>
          </w:p>
        </w:tc>
        <w:tc>
          <w:tcPr>
            <w:tcW w:w="6800" w:type="dxa"/>
            <w:tcBorders>
              <w:top w:val="nil"/>
              <w:left w:val="nil"/>
              <w:bottom w:val="single" w:sz="4" w:space="0" w:color="auto"/>
              <w:right w:val="single" w:sz="4" w:space="0" w:color="auto"/>
            </w:tcBorders>
            <w:shd w:val="clear" w:color="auto" w:fill="auto"/>
            <w:vAlign w:val="center"/>
            <w:hideMark/>
          </w:tcPr>
          <w:p w14:paraId="6E7252AB" w14:textId="77777777" w:rsidR="0053778B" w:rsidRPr="00EA444B" w:rsidRDefault="0053778B" w:rsidP="00940436">
            <w:pPr>
              <w:spacing w:line="240" w:lineRule="auto"/>
            </w:pPr>
            <w:r w:rsidRPr="00EA444B">
              <w:t>Very Long Baseline Interferometry</w:t>
            </w:r>
          </w:p>
        </w:tc>
      </w:tr>
      <w:tr w:rsidR="0053778B" w:rsidRPr="00EA444B" w14:paraId="1E4A7C11"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0C8FCEB" w14:textId="77777777" w:rsidR="0053778B" w:rsidRPr="00EA444B" w:rsidRDefault="0053778B" w:rsidP="00940436">
            <w:pPr>
              <w:spacing w:line="240" w:lineRule="auto"/>
            </w:pPr>
            <w:r w:rsidRPr="00EA444B">
              <w:lastRenderedPageBreak/>
              <w:t>VME</w:t>
            </w:r>
          </w:p>
        </w:tc>
        <w:tc>
          <w:tcPr>
            <w:tcW w:w="6800" w:type="dxa"/>
            <w:tcBorders>
              <w:top w:val="nil"/>
              <w:left w:val="nil"/>
              <w:bottom w:val="single" w:sz="4" w:space="0" w:color="auto"/>
              <w:right w:val="single" w:sz="4" w:space="0" w:color="auto"/>
            </w:tcBorders>
            <w:shd w:val="clear" w:color="auto" w:fill="auto"/>
            <w:noWrap/>
            <w:vAlign w:val="center"/>
            <w:hideMark/>
          </w:tcPr>
          <w:p w14:paraId="399B8502" w14:textId="313EAFAE" w:rsidR="0053778B" w:rsidRPr="00EA444B" w:rsidRDefault="007556F1" w:rsidP="00940436">
            <w:pPr>
              <w:spacing w:line="240" w:lineRule="auto"/>
            </w:pPr>
            <w:r w:rsidRPr="00EA444B">
              <w:t>Versa Module Europa</w:t>
            </w:r>
          </w:p>
        </w:tc>
      </w:tr>
      <w:tr w:rsidR="00A00969" w:rsidRPr="00EA444B" w14:paraId="2FDA4456"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355E2BC2" w14:textId="5F51A79E" w:rsidR="00A00969" w:rsidRPr="00EA444B" w:rsidRDefault="00A00969" w:rsidP="00940436">
            <w:pPr>
              <w:spacing w:line="240" w:lineRule="auto"/>
            </w:pPr>
            <w:r w:rsidRPr="00EA444B">
              <w:t>WFBT</w:t>
            </w:r>
          </w:p>
        </w:tc>
        <w:tc>
          <w:tcPr>
            <w:tcW w:w="6800" w:type="dxa"/>
            <w:tcBorders>
              <w:top w:val="nil"/>
              <w:left w:val="nil"/>
              <w:bottom w:val="single" w:sz="4" w:space="0" w:color="auto"/>
              <w:right w:val="single" w:sz="4" w:space="0" w:color="auto"/>
            </w:tcBorders>
            <w:shd w:val="clear" w:color="auto" w:fill="auto"/>
            <w:noWrap/>
            <w:vAlign w:val="center"/>
          </w:tcPr>
          <w:p w14:paraId="78C16F5D" w14:textId="36E8935D" w:rsidR="00A00969" w:rsidRPr="00EA444B" w:rsidDel="00B24BCE" w:rsidRDefault="00A00969" w:rsidP="00940436">
            <w:pPr>
              <w:spacing w:line="240" w:lineRule="auto"/>
            </w:pPr>
            <w:r w:rsidRPr="00EA444B">
              <w:t>Wide Field Burst Telescope</w:t>
            </w:r>
          </w:p>
        </w:tc>
      </w:tr>
      <w:tr w:rsidR="00F36380" w:rsidRPr="00EA444B" w14:paraId="021F54AB"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53229778" w14:textId="222CF385" w:rsidR="00F36380" w:rsidRPr="00EA444B" w:rsidRDefault="00F36380" w:rsidP="00940436">
            <w:pPr>
              <w:spacing w:line="240" w:lineRule="auto"/>
            </w:pPr>
            <w:r w:rsidRPr="00EA444B">
              <w:t>WFO</w:t>
            </w:r>
          </w:p>
        </w:tc>
        <w:tc>
          <w:tcPr>
            <w:tcW w:w="6800" w:type="dxa"/>
            <w:tcBorders>
              <w:top w:val="nil"/>
              <w:left w:val="nil"/>
              <w:bottom w:val="single" w:sz="4" w:space="0" w:color="auto"/>
              <w:right w:val="single" w:sz="4" w:space="0" w:color="auto"/>
            </w:tcBorders>
            <w:shd w:val="clear" w:color="auto" w:fill="auto"/>
            <w:noWrap/>
            <w:vAlign w:val="center"/>
          </w:tcPr>
          <w:p w14:paraId="7119B41B" w14:textId="1D84AB4B" w:rsidR="00F36380" w:rsidRPr="00EA444B" w:rsidDel="00B24BCE" w:rsidRDefault="00F36380" w:rsidP="00940436">
            <w:pPr>
              <w:spacing w:line="240" w:lineRule="auto"/>
            </w:pPr>
            <w:r w:rsidRPr="00EA444B">
              <w:t>Work for Others</w:t>
            </w:r>
          </w:p>
        </w:tc>
      </w:tr>
      <w:tr w:rsidR="00DC5809" w:rsidRPr="00EA444B" w14:paraId="51E2B2F8" w14:textId="77777777" w:rsidTr="00EE4307">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05A0E183" w14:textId="35456552" w:rsidR="00DC5809" w:rsidRPr="00EA444B" w:rsidRDefault="00DC5809" w:rsidP="00940436">
            <w:pPr>
              <w:spacing w:line="240" w:lineRule="auto"/>
            </w:pPr>
            <w:r w:rsidRPr="00EA444B">
              <w:t>WIM</w:t>
            </w:r>
          </w:p>
        </w:tc>
        <w:tc>
          <w:tcPr>
            <w:tcW w:w="6800" w:type="dxa"/>
            <w:tcBorders>
              <w:top w:val="nil"/>
              <w:left w:val="nil"/>
              <w:bottom w:val="single" w:sz="4" w:space="0" w:color="auto"/>
              <w:right w:val="single" w:sz="4" w:space="0" w:color="auto"/>
            </w:tcBorders>
            <w:shd w:val="clear" w:color="auto" w:fill="auto"/>
            <w:noWrap/>
            <w:vAlign w:val="center"/>
          </w:tcPr>
          <w:p w14:paraId="07F80BA0" w14:textId="0BA9B6D2" w:rsidR="00DC5809" w:rsidRPr="00EA444B" w:rsidRDefault="00DC5809" w:rsidP="00940436">
            <w:pPr>
              <w:spacing w:line="240" w:lineRule="auto"/>
            </w:pPr>
            <w:r w:rsidRPr="00EA444B">
              <w:t>Warm Ionized Medium</w:t>
            </w:r>
          </w:p>
        </w:tc>
      </w:tr>
      <w:tr w:rsidR="0053778B" w:rsidRPr="00EA444B" w14:paraId="2185EEDF"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A864B0E" w14:textId="77777777" w:rsidR="0053778B" w:rsidRPr="00EA444B" w:rsidRDefault="0053778B" w:rsidP="00940436">
            <w:pPr>
              <w:spacing w:line="240" w:lineRule="auto"/>
            </w:pPr>
            <w:r w:rsidRPr="00EA444B">
              <w:t>WV</w:t>
            </w:r>
          </w:p>
        </w:tc>
        <w:tc>
          <w:tcPr>
            <w:tcW w:w="6800" w:type="dxa"/>
            <w:tcBorders>
              <w:top w:val="nil"/>
              <w:left w:val="nil"/>
              <w:bottom w:val="single" w:sz="4" w:space="0" w:color="auto"/>
              <w:right w:val="single" w:sz="4" w:space="0" w:color="auto"/>
            </w:tcBorders>
            <w:shd w:val="clear" w:color="auto" w:fill="auto"/>
            <w:vAlign w:val="center"/>
            <w:hideMark/>
          </w:tcPr>
          <w:p w14:paraId="7CFA185F" w14:textId="77777777" w:rsidR="0053778B" w:rsidRPr="00EA444B" w:rsidRDefault="0053778B" w:rsidP="00940436">
            <w:pPr>
              <w:spacing w:line="240" w:lineRule="auto"/>
            </w:pPr>
            <w:r w:rsidRPr="00EA444B">
              <w:t>West Virginia</w:t>
            </w:r>
          </w:p>
        </w:tc>
      </w:tr>
      <w:tr w:rsidR="00213E20" w:rsidRPr="00EA444B" w14:paraId="466C8791"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04BFE5E8" w14:textId="4F8057DB" w:rsidR="00213E20" w:rsidRPr="00EA444B" w:rsidRDefault="00213E20" w:rsidP="00940436">
            <w:pPr>
              <w:spacing w:line="240" w:lineRule="auto"/>
            </w:pPr>
            <w:r w:rsidRPr="00EA444B">
              <w:t>WV GSI</w:t>
            </w:r>
          </w:p>
        </w:tc>
        <w:tc>
          <w:tcPr>
            <w:tcW w:w="6800" w:type="dxa"/>
            <w:tcBorders>
              <w:top w:val="nil"/>
              <w:left w:val="nil"/>
              <w:bottom w:val="single" w:sz="4" w:space="0" w:color="auto"/>
              <w:right w:val="single" w:sz="4" w:space="0" w:color="auto"/>
            </w:tcBorders>
            <w:shd w:val="clear" w:color="auto" w:fill="auto"/>
            <w:vAlign w:val="center"/>
          </w:tcPr>
          <w:p w14:paraId="50E398DF" w14:textId="4AE30CF3" w:rsidR="00213E20" w:rsidRPr="00EA444B" w:rsidRDefault="00213E20" w:rsidP="00940436">
            <w:pPr>
              <w:spacing w:line="240" w:lineRule="auto"/>
            </w:pPr>
            <w:r w:rsidRPr="00EA444B">
              <w:t xml:space="preserve">West Virginia </w:t>
            </w:r>
            <w:r w:rsidR="0047639F" w:rsidRPr="00EA444B">
              <w:t>Governor’s STEM Institute</w:t>
            </w:r>
          </w:p>
        </w:tc>
      </w:tr>
      <w:tr w:rsidR="0053778B" w:rsidRPr="00EA444B" w14:paraId="58D4F540"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A29AC51" w14:textId="77777777" w:rsidR="0053778B" w:rsidRPr="00EA444B" w:rsidRDefault="0053778B" w:rsidP="00940436">
            <w:pPr>
              <w:spacing w:line="240" w:lineRule="auto"/>
            </w:pPr>
            <w:r w:rsidRPr="00EA444B">
              <w:t>WVRAZ</w:t>
            </w:r>
          </w:p>
        </w:tc>
        <w:tc>
          <w:tcPr>
            <w:tcW w:w="6800" w:type="dxa"/>
            <w:tcBorders>
              <w:top w:val="nil"/>
              <w:left w:val="nil"/>
              <w:bottom w:val="single" w:sz="4" w:space="0" w:color="auto"/>
              <w:right w:val="single" w:sz="4" w:space="0" w:color="auto"/>
            </w:tcBorders>
            <w:shd w:val="clear" w:color="auto" w:fill="auto"/>
            <w:vAlign w:val="center"/>
            <w:hideMark/>
          </w:tcPr>
          <w:p w14:paraId="1BC467F5" w14:textId="77777777" w:rsidR="0053778B" w:rsidRPr="00EA444B" w:rsidRDefault="0053778B" w:rsidP="00940436">
            <w:pPr>
              <w:spacing w:line="240" w:lineRule="auto"/>
            </w:pPr>
            <w:r w:rsidRPr="00EA444B">
              <w:t>West Virginia Radio Astronomy Zone</w:t>
            </w:r>
          </w:p>
        </w:tc>
      </w:tr>
      <w:tr w:rsidR="00213E20" w:rsidRPr="00EA444B" w14:paraId="5E8455D7" w14:textId="77777777" w:rsidTr="00C432A0">
        <w:trPr>
          <w:trHeight w:val="288"/>
        </w:trPr>
        <w:tc>
          <w:tcPr>
            <w:tcW w:w="1540" w:type="dxa"/>
            <w:tcBorders>
              <w:top w:val="nil"/>
              <w:left w:val="single" w:sz="4" w:space="0" w:color="auto"/>
              <w:bottom w:val="single" w:sz="4" w:space="0" w:color="auto"/>
              <w:right w:val="single" w:sz="4" w:space="0" w:color="auto"/>
            </w:tcBorders>
            <w:shd w:val="clear" w:color="auto" w:fill="auto"/>
            <w:vAlign w:val="center"/>
          </w:tcPr>
          <w:p w14:paraId="53272B21" w14:textId="40ACEDF3" w:rsidR="00213E20" w:rsidRPr="00EA444B" w:rsidRDefault="00213E20" w:rsidP="00940436">
            <w:pPr>
              <w:spacing w:line="240" w:lineRule="auto"/>
            </w:pPr>
            <w:r w:rsidRPr="00EA444B">
              <w:t>WVSPOT</w:t>
            </w:r>
          </w:p>
        </w:tc>
        <w:tc>
          <w:tcPr>
            <w:tcW w:w="6800" w:type="dxa"/>
            <w:tcBorders>
              <w:top w:val="nil"/>
              <w:left w:val="nil"/>
              <w:bottom w:val="single" w:sz="4" w:space="0" w:color="auto"/>
              <w:right w:val="single" w:sz="4" w:space="0" w:color="auto"/>
            </w:tcBorders>
            <w:shd w:val="clear" w:color="auto" w:fill="auto"/>
            <w:vAlign w:val="center"/>
          </w:tcPr>
          <w:p w14:paraId="20AE6C7A" w14:textId="1B838BDF" w:rsidR="00213E20" w:rsidRPr="00EA444B" w:rsidRDefault="00213E20" w:rsidP="00940436">
            <w:pPr>
              <w:spacing w:line="240" w:lineRule="auto"/>
            </w:pPr>
            <w:r w:rsidRPr="00EA444B">
              <w:t>West Virginia Science Public Outreach Team</w:t>
            </w:r>
          </w:p>
        </w:tc>
      </w:tr>
      <w:tr w:rsidR="0053778B" w:rsidRPr="00EA444B" w14:paraId="07E3550E"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16A85" w14:textId="77777777" w:rsidR="0053778B" w:rsidRPr="00EA444B" w:rsidRDefault="0053778B" w:rsidP="00940436">
            <w:pPr>
              <w:spacing w:line="240" w:lineRule="auto"/>
            </w:pPr>
            <w:r w:rsidRPr="00EA444B">
              <w:t>WVSTA</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05B18" w14:textId="77777777" w:rsidR="0053778B" w:rsidRPr="00EA444B" w:rsidRDefault="0053778B" w:rsidP="00940436">
            <w:pPr>
              <w:spacing w:line="240" w:lineRule="auto"/>
            </w:pPr>
            <w:r w:rsidRPr="00EA444B">
              <w:t>West Virginia Science Teachers Association</w:t>
            </w:r>
          </w:p>
        </w:tc>
      </w:tr>
      <w:tr w:rsidR="0053778B" w:rsidRPr="00EA444B" w14:paraId="10A162F4" w14:textId="77777777" w:rsidTr="00C432A0">
        <w:trPr>
          <w:trHeight w:val="288"/>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2A971" w14:textId="77777777" w:rsidR="0053778B" w:rsidRPr="00EA444B" w:rsidRDefault="0053778B" w:rsidP="00940436">
            <w:pPr>
              <w:spacing w:line="240" w:lineRule="auto"/>
            </w:pPr>
            <w:r w:rsidRPr="00EA444B">
              <w:t>WVU</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B261A" w14:textId="77777777" w:rsidR="0053778B" w:rsidRPr="00EA444B" w:rsidRDefault="0053778B" w:rsidP="00940436">
            <w:pPr>
              <w:spacing w:line="240" w:lineRule="auto"/>
            </w:pPr>
            <w:r w:rsidRPr="00EA444B">
              <w:t>West Virginia University</w:t>
            </w:r>
          </w:p>
        </w:tc>
      </w:tr>
    </w:tbl>
    <w:p w14:paraId="7163C452" w14:textId="77777777" w:rsidR="00A27D47" w:rsidRDefault="00A27D47" w:rsidP="00E81DBB">
      <w:pPr>
        <w:spacing w:after="0" w:line="240" w:lineRule="auto"/>
        <w:jc w:val="left"/>
      </w:pPr>
    </w:p>
    <w:sectPr w:rsidR="00A27D47" w:rsidSect="00BB00C1">
      <w:pgSz w:w="12240" w:h="15840"/>
      <w:pgMar w:top="1440" w:right="1440" w:bottom="1440" w:left="1440" w:header="720" w:footer="720" w:gutter="0"/>
      <w:cols w:space="720"/>
      <w:formProt w:val="0"/>
      <w:docGrid w:linePitch="36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82" w:author="Nicole Thisdell" w:date="2022-07-04T12:50:00Z" w:initials="NT">
    <w:p w14:paraId="1E5A6528" w14:textId="6F1EE54C" w:rsidR="00EF66A6" w:rsidRDefault="00EF66A6">
      <w:pPr>
        <w:pStyle w:val="CommentText"/>
      </w:pPr>
      <w:r>
        <w:rPr>
          <w:rStyle w:val="CommentReference"/>
        </w:rPr>
        <w:annotationRef/>
      </w:r>
      <w:r>
        <w:t>Moved from business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5A65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5A6528" w16cid:durableId="266D60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15A08" w14:textId="77777777" w:rsidR="00EA1AF7" w:rsidRDefault="00EA1AF7">
      <w:pPr>
        <w:spacing w:after="0" w:line="240" w:lineRule="auto"/>
      </w:pPr>
      <w:r>
        <w:separator/>
      </w:r>
    </w:p>
  </w:endnote>
  <w:endnote w:type="continuationSeparator" w:id="0">
    <w:p w14:paraId="4D21F793" w14:textId="77777777" w:rsidR="00EA1AF7" w:rsidRDefault="00EA1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ill Sans MT Bold">
    <w:panose1 w:val="020B08020201040202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1"/>
    <w:family w:val="auto"/>
    <w:pitch w:val="variable"/>
  </w:font>
  <w:font w:name="Liberation Sans">
    <w:altName w:val="Arial"/>
    <w:charset w:val="01"/>
    <w:family w:val="swiss"/>
    <w:pitch w:val="variable"/>
  </w:font>
  <w:font w:name="Noto Sans Devanagar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roxima Nova Light">
    <w:panose1 w:val="02000506030000020004"/>
    <w:charset w:val="00"/>
    <w:family w:val="modern"/>
    <w:notTrueType/>
    <w:pitch w:val="variable"/>
    <w:sig w:usb0="20000287" w:usb1="00000001" w:usb2="00000000" w:usb3="00000000" w:csb0="0000019F" w:csb1="00000000"/>
  </w:font>
  <w:font w:name="Liberation Serif">
    <w:altName w:val="Times New Roman"/>
    <w:charset w:val="01"/>
    <w:family w:val="swiss"/>
    <w:pitch w:val="variable"/>
  </w:font>
  <w:font w:name="Noto Serif CJK SC">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MR10">
    <w:altName w:val="Calibri"/>
    <w:panose1 w:val="00000000000000000000"/>
    <w:charset w:val="00"/>
    <w:family w:val="auto"/>
    <w:notTrueType/>
    <w:pitch w:val="default"/>
    <w:sig w:usb0="00000003" w:usb1="00000000" w:usb2="00000000" w:usb3="00000000" w:csb0="00000001" w:csb1="00000000"/>
  </w:font>
  <w:font w:name="GillSansMT">
    <w:altName w:val="Calibri"/>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498436"/>
      <w:docPartObj>
        <w:docPartGallery w:val="Page Numbers (Bottom of Page)"/>
        <w:docPartUnique/>
      </w:docPartObj>
    </w:sdtPr>
    <w:sdtEndPr>
      <w:rPr>
        <w:noProof/>
      </w:rPr>
    </w:sdtEndPr>
    <w:sdtContent>
      <w:p w14:paraId="4D52B927" w14:textId="4B421B69" w:rsidR="002F780A" w:rsidRDefault="002F780A" w:rsidP="001812E3">
        <w:pPr>
          <w:pStyle w:val="Footer"/>
        </w:pPr>
        <w:r>
          <w:t xml:space="preserve">Page </w:t>
        </w:r>
        <w:r>
          <w:fldChar w:fldCharType="begin"/>
        </w:r>
        <w:r>
          <w:instrText xml:space="preserve"> PAGE   \* MERGEFORMAT </w:instrText>
        </w:r>
        <w:r>
          <w:fldChar w:fldCharType="separate"/>
        </w:r>
        <w:r>
          <w:rPr>
            <w:noProof/>
          </w:rPr>
          <w:t>60</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99</w:t>
        </w:r>
        <w:r>
          <w:rPr>
            <w:noProof/>
          </w:rPr>
          <w:fldChar w:fldCharType="end"/>
        </w:r>
      </w:p>
    </w:sdtContent>
  </w:sdt>
  <w:p w14:paraId="34B43A0D" w14:textId="77777777" w:rsidR="002F780A" w:rsidRDefault="002F780A" w:rsidP="00181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F3AD0" w14:textId="77777777" w:rsidR="00EA1AF7" w:rsidRDefault="00EA1AF7">
      <w:pPr>
        <w:spacing w:after="0" w:line="240" w:lineRule="auto"/>
      </w:pPr>
      <w:r>
        <w:separator/>
      </w:r>
    </w:p>
  </w:footnote>
  <w:footnote w:type="continuationSeparator" w:id="0">
    <w:p w14:paraId="0452BB30" w14:textId="77777777" w:rsidR="00EA1AF7" w:rsidRDefault="00EA1AF7">
      <w:pPr>
        <w:spacing w:after="0" w:line="240" w:lineRule="auto"/>
      </w:pPr>
      <w:r>
        <w:continuationSeparator/>
      </w:r>
    </w:p>
  </w:footnote>
  <w:footnote w:id="1">
    <w:p w14:paraId="5D0BF4EE" w14:textId="749877FB" w:rsidR="002F780A" w:rsidRDefault="002F780A">
      <w:r>
        <w:rPr>
          <w:rStyle w:val="FootnoteReference"/>
        </w:rPr>
        <w:footnoteRef/>
      </w:r>
      <w:r>
        <w:t xml:space="preserve"> </w:t>
      </w:r>
      <w:r w:rsidRPr="002D7309">
        <w:t>https://www.nationalacademies.org/our-work/decadal-survey-on-astronomy-and-astrophysics-2020-astro2020</w:t>
      </w:r>
    </w:p>
    <w:p w14:paraId="4707CB73" w14:textId="77777777" w:rsidR="002F780A" w:rsidRDefault="002F780A"/>
  </w:footnote>
  <w:footnote w:id="2">
    <w:p w14:paraId="597F9733" w14:textId="77777777" w:rsidR="00EF66A6" w:rsidRDefault="00EF66A6" w:rsidP="00EF66A6">
      <w:pPr>
        <w:pStyle w:val="FootnoteText"/>
      </w:pPr>
      <w:r>
        <w:rPr>
          <w:rStyle w:val="FootnoteReference"/>
        </w:rPr>
        <w:footnoteRef/>
      </w:r>
      <w:r>
        <w:t xml:space="preserve"> Due to restricted operations in FY2021 due to the COVID-19 pandemic, FY 2021 visitor numbers will be significantly lower and not indicative of visitor interest.</w:t>
      </w:r>
    </w:p>
    <w:p w14:paraId="0ED85A7E" w14:textId="77777777" w:rsidR="00EF66A6" w:rsidRDefault="00EF66A6" w:rsidP="00EF66A6"/>
    <w:p w14:paraId="1D145AE2" w14:textId="77777777" w:rsidR="00EF66A6" w:rsidRDefault="00EF66A6" w:rsidP="00EF66A6"/>
  </w:footnote>
  <w:footnote w:id="3">
    <w:p w14:paraId="5D5D719E" w14:textId="77777777" w:rsidR="002F780A" w:rsidRDefault="002F780A" w:rsidP="009814F2">
      <w:pPr>
        <w:pStyle w:val="FootnoteText"/>
      </w:pPr>
      <w:r>
        <w:rPr>
          <w:rStyle w:val="FootnoteReference"/>
        </w:rPr>
        <w:footnoteRef/>
      </w:r>
      <w:r>
        <w:t xml:space="preserve"> Due to restricted operations in FY2021 due to the COVID-19 pandemic, FY 2021 visitor numbers will be significantly lower and not indicative of visitor interest.</w:t>
      </w:r>
    </w:p>
    <w:p w14:paraId="64DCA8EA" w14:textId="77777777" w:rsidR="002F780A" w:rsidRDefault="002F780A" w:rsidP="009814F2"/>
    <w:p w14:paraId="00491624" w14:textId="77777777" w:rsidR="002F780A" w:rsidRDefault="002F780A" w:rsidP="009814F2"/>
  </w:footnote>
  <w:footnote w:id="4">
    <w:p w14:paraId="0EE32398" w14:textId="77777777" w:rsidR="002F780A" w:rsidRDefault="002F780A" w:rsidP="00981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085" w:type="dxa"/>
      <w:tblInd w:w="1270" w:type="dxa"/>
      <w:tblLook w:val="04A0" w:firstRow="1" w:lastRow="0" w:firstColumn="1" w:lastColumn="0" w:noHBand="0" w:noVBand="1"/>
    </w:tblPr>
    <w:tblGrid>
      <w:gridCol w:w="3921"/>
      <w:gridCol w:w="1761"/>
      <w:gridCol w:w="2403"/>
    </w:tblGrid>
    <w:tr w:rsidR="002F780A" w:rsidRPr="00182A6A" w14:paraId="07F449BC" w14:textId="77777777" w:rsidTr="00E41B01">
      <w:trPr>
        <w:trHeight w:val="396"/>
      </w:trPr>
      <w:tc>
        <w:tcPr>
          <w:tcW w:w="3921" w:type="dxa"/>
          <w:tcBorders>
            <w:top w:val="single" w:sz="4" w:space="0" w:color="auto"/>
            <w:left w:val="single" w:sz="4" w:space="0" w:color="auto"/>
            <w:bottom w:val="single" w:sz="4" w:space="0" w:color="auto"/>
            <w:right w:val="single" w:sz="4" w:space="0" w:color="auto"/>
          </w:tcBorders>
          <w:vAlign w:val="center"/>
        </w:tcPr>
        <w:p w14:paraId="6AE0B33A" w14:textId="74946EE2" w:rsidR="002F780A" w:rsidRPr="00182A6A" w:rsidRDefault="002F780A" w:rsidP="00B3360E">
          <w:pPr>
            <w:rPr>
              <w:sz w:val="20"/>
              <w:szCs w:val="20"/>
            </w:rPr>
          </w:pPr>
          <w:r w:rsidRPr="00182A6A">
            <w:rPr>
              <w:b/>
              <w:i/>
              <w:sz w:val="20"/>
              <w:szCs w:val="20"/>
            </w:rPr>
            <w:t>Title</w:t>
          </w:r>
          <w:r w:rsidRPr="00182A6A">
            <w:rPr>
              <w:b/>
              <w:sz w:val="20"/>
              <w:szCs w:val="20"/>
            </w:rPr>
            <w:t>:</w:t>
          </w:r>
          <w:r w:rsidRPr="00182A6A">
            <w:rPr>
              <w:sz w:val="20"/>
              <w:szCs w:val="20"/>
            </w:rPr>
            <w:t xml:space="preserve"> </w:t>
          </w:r>
          <w:r>
            <w:rPr>
              <w:sz w:val="20"/>
              <w:szCs w:val="20"/>
            </w:rPr>
            <w:t xml:space="preserve">GBO </w:t>
          </w:r>
          <w:r w:rsidRPr="00182A6A">
            <w:rPr>
              <w:sz w:val="20"/>
              <w:szCs w:val="20"/>
            </w:rPr>
            <w:t>Program Operating Plan FY202</w:t>
          </w:r>
          <w:r>
            <w:rPr>
              <w:sz w:val="20"/>
              <w:szCs w:val="20"/>
            </w:rPr>
            <w:t>3</w:t>
          </w:r>
        </w:p>
      </w:tc>
      <w:tc>
        <w:tcPr>
          <w:tcW w:w="1761" w:type="dxa"/>
          <w:tcBorders>
            <w:top w:val="single" w:sz="4" w:space="0" w:color="auto"/>
            <w:left w:val="single" w:sz="4" w:space="0" w:color="auto"/>
            <w:bottom w:val="single" w:sz="4" w:space="0" w:color="auto"/>
            <w:right w:val="single" w:sz="4" w:space="0" w:color="auto"/>
          </w:tcBorders>
          <w:vAlign w:val="center"/>
        </w:tcPr>
        <w:p w14:paraId="4948B008" w14:textId="00A51E23" w:rsidR="002F780A" w:rsidRPr="00182A6A" w:rsidRDefault="002F780A" w:rsidP="00B3360E">
          <w:pPr>
            <w:rPr>
              <w:sz w:val="20"/>
              <w:szCs w:val="20"/>
            </w:rPr>
          </w:pPr>
          <w:r w:rsidRPr="00182A6A">
            <w:rPr>
              <w:b/>
              <w:i/>
              <w:sz w:val="20"/>
              <w:szCs w:val="20"/>
            </w:rPr>
            <w:t>Author</w:t>
          </w:r>
          <w:r w:rsidRPr="00182A6A">
            <w:rPr>
              <w:b/>
              <w:sz w:val="20"/>
              <w:szCs w:val="20"/>
            </w:rPr>
            <w:t>:</w:t>
          </w:r>
          <w:r>
            <w:rPr>
              <w:sz w:val="20"/>
              <w:szCs w:val="20"/>
            </w:rPr>
            <w:t xml:space="preserve"> Jackson</w:t>
          </w:r>
        </w:p>
      </w:tc>
      <w:tc>
        <w:tcPr>
          <w:tcW w:w="2403" w:type="dxa"/>
          <w:tcBorders>
            <w:top w:val="single" w:sz="4" w:space="0" w:color="auto"/>
            <w:left w:val="single" w:sz="4" w:space="0" w:color="auto"/>
            <w:bottom w:val="single" w:sz="4" w:space="0" w:color="auto"/>
            <w:right w:val="single" w:sz="4" w:space="0" w:color="auto"/>
          </w:tcBorders>
          <w:vAlign w:val="center"/>
        </w:tcPr>
        <w:p w14:paraId="0495F568" w14:textId="771148B6" w:rsidR="002F780A" w:rsidRPr="00182A6A" w:rsidRDefault="002F780A" w:rsidP="00B3360E">
          <w:pPr>
            <w:rPr>
              <w:sz w:val="20"/>
              <w:szCs w:val="20"/>
            </w:rPr>
          </w:pPr>
          <w:r w:rsidRPr="00182A6A">
            <w:rPr>
              <w:b/>
              <w:i/>
              <w:sz w:val="20"/>
              <w:szCs w:val="20"/>
            </w:rPr>
            <w:t>Date</w:t>
          </w:r>
          <w:r w:rsidRPr="00182A6A">
            <w:rPr>
              <w:b/>
              <w:sz w:val="20"/>
              <w:szCs w:val="20"/>
            </w:rPr>
            <w:t>:</w:t>
          </w:r>
          <w:r>
            <w:rPr>
              <w:sz w:val="20"/>
              <w:szCs w:val="20"/>
            </w:rPr>
            <w:t xml:space="preserve"> 6/30/2022</w:t>
          </w:r>
        </w:p>
      </w:tc>
    </w:tr>
    <w:tr w:rsidR="002F780A" w:rsidRPr="00182A6A" w14:paraId="0D460D79" w14:textId="77777777" w:rsidTr="00E41B01">
      <w:trPr>
        <w:trHeight w:val="541"/>
      </w:trPr>
      <w:tc>
        <w:tcPr>
          <w:tcW w:w="5682" w:type="dxa"/>
          <w:gridSpan w:val="2"/>
          <w:tcBorders>
            <w:top w:val="single" w:sz="4" w:space="0" w:color="auto"/>
            <w:left w:val="single" w:sz="4" w:space="0" w:color="auto"/>
            <w:bottom w:val="single" w:sz="4" w:space="0" w:color="auto"/>
            <w:right w:val="single" w:sz="4" w:space="0" w:color="auto"/>
          </w:tcBorders>
          <w:vAlign w:val="center"/>
        </w:tcPr>
        <w:p w14:paraId="41BD788E" w14:textId="2DABB0C7" w:rsidR="002F780A" w:rsidRPr="00182A6A" w:rsidRDefault="002F780A" w:rsidP="00B3360E">
          <w:pPr>
            <w:rPr>
              <w:sz w:val="20"/>
              <w:szCs w:val="20"/>
            </w:rPr>
          </w:pPr>
          <w:r>
            <w:rPr>
              <w:sz w:val="20"/>
              <w:szCs w:val="20"/>
            </w:rPr>
            <w:t xml:space="preserve">Document </w:t>
          </w:r>
          <w:r w:rsidRPr="003914B0">
            <w:rPr>
              <w:sz w:val="20"/>
              <w:szCs w:val="20"/>
            </w:rPr>
            <w:t>387-69</w:t>
          </w:r>
        </w:p>
      </w:tc>
      <w:tc>
        <w:tcPr>
          <w:tcW w:w="2403" w:type="dxa"/>
          <w:tcBorders>
            <w:top w:val="single" w:sz="4" w:space="0" w:color="auto"/>
            <w:left w:val="single" w:sz="4" w:space="0" w:color="auto"/>
            <w:bottom w:val="single" w:sz="4" w:space="0" w:color="auto"/>
            <w:right w:val="single" w:sz="4" w:space="0" w:color="auto"/>
          </w:tcBorders>
          <w:vAlign w:val="center"/>
        </w:tcPr>
        <w:p w14:paraId="1CC6AF76" w14:textId="6AB23818" w:rsidR="002F780A" w:rsidRPr="00182A6A" w:rsidRDefault="002F780A" w:rsidP="00B3360E">
          <w:pPr>
            <w:rPr>
              <w:sz w:val="20"/>
              <w:szCs w:val="20"/>
            </w:rPr>
          </w:pPr>
          <w:r w:rsidRPr="00182A6A">
            <w:rPr>
              <w:b/>
              <w:i/>
              <w:sz w:val="20"/>
              <w:szCs w:val="20"/>
            </w:rPr>
            <w:t>Version</w:t>
          </w:r>
          <w:r w:rsidRPr="00182A6A">
            <w:rPr>
              <w:b/>
              <w:sz w:val="20"/>
              <w:szCs w:val="20"/>
            </w:rPr>
            <w:t>:</w:t>
          </w:r>
          <w:r>
            <w:rPr>
              <w:b/>
              <w:sz w:val="20"/>
              <w:szCs w:val="20"/>
            </w:rPr>
            <w:t xml:space="preserve"> </w:t>
          </w:r>
          <w:r>
            <w:rPr>
              <w:sz w:val="20"/>
              <w:szCs w:val="20"/>
            </w:rPr>
            <w:t>0.1</w:t>
          </w:r>
        </w:p>
      </w:tc>
    </w:tr>
  </w:tbl>
  <w:p w14:paraId="3CF82AA4" w14:textId="0BDB2385" w:rsidR="002F780A" w:rsidRDefault="002F780A">
    <w:pPr>
      <w:pStyle w:val="Header"/>
    </w:pPr>
    <w:r>
      <w:rPr>
        <w:noProof/>
        <w:sz w:val="20"/>
        <w:szCs w:val="20"/>
      </w:rPr>
      <w:drawing>
        <wp:anchor distT="0" distB="0" distL="114300" distR="114300" simplePos="0" relativeHeight="251661312" behindDoc="0" locked="0" layoutInCell="1" allowOverlap="1" wp14:anchorId="649A984A" wp14:editId="14793909">
          <wp:simplePos x="0" y="0"/>
          <wp:positionH relativeFrom="margin">
            <wp:posOffset>-266700</wp:posOffset>
          </wp:positionH>
          <wp:positionV relativeFrom="paragraph">
            <wp:posOffset>-859155</wp:posOffset>
          </wp:positionV>
          <wp:extent cx="902335" cy="9696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9696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7D781" w14:textId="77777777" w:rsidR="002F780A" w:rsidRDefault="002F7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10D23A"/>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EC18E4C0"/>
    <w:lvl w:ilvl="0">
      <w:start w:val="1"/>
      <w:numFmt w:val="decimal"/>
      <w:lvlText w:val="%1."/>
      <w:lvlJc w:val="left"/>
      <w:pPr>
        <w:tabs>
          <w:tab w:val="num" w:pos="720"/>
        </w:tabs>
        <w:ind w:left="720" w:hanging="360"/>
      </w:pPr>
    </w:lvl>
  </w:abstractNum>
  <w:abstractNum w:abstractNumId="2" w15:restartNumberingAfterBreak="0">
    <w:nsid w:val="02C565DD"/>
    <w:multiLevelType w:val="hybridMultilevel"/>
    <w:tmpl w:val="44DE6454"/>
    <w:lvl w:ilvl="0" w:tplc="0FCA1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D094F"/>
    <w:multiLevelType w:val="hybridMultilevel"/>
    <w:tmpl w:val="9508E8B8"/>
    <w:lvl w:ilvl="0" w:tplc="3244D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23CCF"/>
    <w:multiLevelType w:val="hybridMultilevel"/>
    <w:tmpl w:val="10AE27B8"/>
    <w:lvl w:ilvl="0" w:tplc="ACFA82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1259DF"/>
    <w:multiLevelType w:val="hybridMultilevel"/>
    <w:tmpl w:val="EC9EF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20BDF"/>
    <w:multiLevelType w:val="hybridMultilevel"/>
    <w:tmpl w:val="52201C52"/>
    <w:lvl w:ilvl="0" w:tplc="61F43D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3A0079"/>
    <w:multiLevelType w:val="hybridMultilevel"/>
    <w:tmpl w:val="8D603946"/>
    <w:lvl w:ilvl="0" w:tplc="24343F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42406A"/>
    <w:multiLevelType w:val="hybridMultilevel"/>
    <w:tmpl w:val="BF0C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86D38"/>
    <w:multiLevelType w:val="hybridMultilevel"/>
    <w:tmpl w:val="824032FA"/>
    <w:lvl w:ilvl="0" w:tplc="2026B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860A37"/>
    <w:multiLevelType w:val="hybridMultilevel"/>
    <w:tmpl w:val="262CE736"/>
    <w:lvl w:ilvl="0" w:tplc="20B05F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5C38E6"/>
    <w:multiLevelType w:val="hybridMultilevel"/>
    <w:tmpl w:val="14F41618"/>
    <w:lvl w:ilvl="0" w:tplc="57AA9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5E2D9C"/>
    <w:multiLevelType w:val="hybridMultilevel"/>
    <w:tmpl w:val="D706C0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193CEC"/>
    <w:multiLevelType w:val="hybridMultilevel"/>
    <w:tmpl w:val="F43AE5C4"/>
    <w:lvl w:ilvl="0" w:tplc="E5987D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767CC8"/>
    <w:multiLevelType w:val="hybridMultilevel"/>
    <w:tmpl w:val="8D603946"/>
    <w:lvl w:ilvl="0" w:tplc="24343F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F92843"/>
    <w:multiLevelType w:val="hybridMultilevel"/>
    <w:tmpl w:val="89A6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A5ADD"/>
    <w:multiLevelType w:val="hybridMultilevel"/>
    <w:tmpl w:val="19F05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D30B6"/>
    <w:multiLevelType w:val="multilevel"/>
    <w:tmpl w:val="FD3204A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C207C11"/>
    <w:multiLevelType w:val="hybridMultilevel"/>
    <w:tmpl w:val="79E6E166"/>
    <w:lvl w:ilvl="0" w:tplc="6D0ABB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7B35DD"/>
    <w:multiLevelType w:val="hybridMultilevel"/>
    <w:tmpl w:val="5DACECE6"/>
    <w:lvl w:ilvl="0" w:tplc="A9B89A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4E6EDB"/>
    <w:multiLevelType w:val="hybridMultilevel"/>
    <w:tmpl w:val="14F41618"/>
    <w:lvl w:ilvl="0" w:tplc="57AA9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392E57"/>
    <w:multiLevelType w:val="hybridMultilevel"/>
    <w:tmpl w:val="85462E5C"/>
    <w:lvl w:ilvl="0" w:tplc="7F6CD2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927ABE"/>
    <w:multiLevelType w:val="hybridMultilevel"/>
    <w:tmpl w:val="2038583A"/>
    <w:lvl w:ilvl="0" w:tplc="E84098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ED14CE"/>
    <w:multiLevelType w:val="hybridMultilevel"/>
    <w:tmpl w:val="72D6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A2DE8"/>
    <w:multiLevelType w:val="hybridMultilevel"/>
    <w:tmpl w:val="972259B8"/>
    <w:lvl w:ilvl="0" w:tplc="6D0ABB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F54AE5"/>
    <w:multiLevelType w:val="hybridMultilevel"/>
    <w:tmpl w:val="DD72F362"/>
    <w:lvl w:ilvl="0" w:tplc="ECC4C1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186924"/>
    <w:multiLevelType w:val="hybridMultilevel"/>
    <w:tmpl w:val="AB242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7" w15:restartNumberingAfterBreak="0">
    <w:nsid w:val="5060280C"/>
    <w:multiLevelType w:val="hybridMultilevel"/>
    <w:tmpl w:val="1EBE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854AA"/>
    <w:multiLevelType w:val="hybridMultilevel"/>
    <w:tmpl w:val="7D0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B0212"/>
    <w:multiLevelType w:val="hybridMultilevel"/>
    <w:tmpl w:val="5A3C31E4"/>
    <w:lvl w:ilvl="0" w:tplc="35381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C86295"/>
    <w:multiLevelType w:val="multilevel"/>
    <w:tmpl w:val="474203F6"/>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A67C19"/>
    <w:multiLevelType w:val="hybridMultilevel"/>
    <w:tmpl w:val="6886608A"/>
    <w:lvl w:ilvl="0" w:tplc="862226BC">
      <w:start w:val="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73E0154"/>
    <w:multiLevelType w:val="multilevel"/>
    <w:tmpl w:val="3D9601DE"/>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4A5A00"/>
    <w:multiLevelType w:val="hybridMultilevel"/>
    <w:tmpl w:val="EA623CAA"/>
    <w:lvl w:ilvl="0" w:tplc="F8C420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6D253D"/>
    <w:multiLevelType w:val="hybridMultilevel"/>
    <w:tmpl w:val="5A3C31E4"/>
    <w:lvl w:ilvl="0" w:tplc="35381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483A4A"/>
    <w:multiLevelType w:val="hybridMultilevel"/>
    <w:tmpl w:val="B4FE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A43FC"/>
    <w:multiLevelType w:val="hybridMultilevel"/>
    <w:tmpl w:val="DA62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66124D"/>
    <w:multiLevelType w:val="hybridMultilevel"/>
    <w:tmpl w:val="A5EE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8" w15:restartNumberingAfterBreak="0">
    <w:nsid w:val="6ECE160E"/>
    <w:multiLevelType w:val="hybridMultilevel"/>
    <w:tmpl w:val="85462E5C"/>
    <w:lvl w:ilvl="0" w:tplc="7F6CD2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533CB1"/>
    <w:multiLevelType w:val="hybridMultilevel"/>
    <w:tmpl w:val="364C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116C8A"/>
    <w:multiLevelType w:val="hybridMultilevel"/>
    <w:tmpl w:val="D584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C0D66"/>
    <w:multiLevelType w:val="multilevel"/>
    <w:tmpl w:val="5F5254B6"/>
    <w:lvl w:ilvl="0">
      <w:start w:val="1"/>
      <w:numFmt w:val="decimal"/>
      <w:pStyle w:val="Heading1"/>
      <w:lvlText w:val="%1"/>
      <w:lvlJc w:val="left"/>
      <w:pPr>
        <w:ind w:left="432" w:hanging="432"/>
      </w:pPr>
      <w:rPr>
        <w:b/>
        <w:sz w:val="28"/>
        <w:szCs w:val="28"/>
      </w:rPr>
    </w:lvl>
    <w:lvl w:ilvl="1">
      <w:start w:val="1"/>
      <w:numFmt w:val="decimal"/>
      <w:pStyle w:val="Heading2"/>
      <w:lvlText w:val="%1.%2"/>
      <w:lvlJc w:val="left"/>
      <w:pPr>
        <w:ind w:left="-2844"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60" w:hanging="720"/>
      </w:pPr>
      <w:rPr>
        <w:rFonts w:ascii="Gill Sans MT" w:hAnsi="Gill Sans MT" w:hint="default"/>
        <w:b/>
        <w:i w:val="0"/>
      </w:rPr>
    </w:lvl>
    <w:lvl w:ilvl="3">
      <w:start w:val="1"/>
      <w:numFmt w:val="decimal"/>
      <w:pStyle w:val="Heading4"/>
      <w:lvlText w:val="%1.%2.%3.%4"/>
      <w:lvlJc w:val="left"/>
      <w:pPr>
        <w:ind w:left="-3096" w:hanging="864"/>
      </w:pPr>
      <w:rPr>
        <w:b/>
        <w:i w:val="0"/>
      </w:rPr>
    </w:lvl>
    <w:lvl w:ilvl="4">
      <w:start w:val="1"/>
      <w:numFmt w:val="decimal"/>
      <w:pStyle w:val="Heading5"/>
      <w:lvlText w:val="%1.%2.%3.%4.%5"/>
      <w:lvlJc w:val="left"/>
      <w:pPr>
        <w:ind w:left="-2952" w:hanging="1008"/>
      </w:pPr>
    </w:lvl>
    <w:lvl w:ilvl="5">
      <w:start w:val="1"/>
      <w:numFmt w:val="decimal"/>
      <w:pStyle w:val="Heading6"/>
      <w:lvlText w:val="%1.%2.%3.%4.%5.%6"/>
      <w:lvlJc w:val="left"/>
      <w:pPr>
        <w:ind w:left="-2808" w:hanging="1152"/>
      </w:pPr>
    </w:lvl>
    <w:lvl w:ilvl="6">
      <w:start w:val="1"/>
      <w:numFmt w:val="decimal"/>
      <w:pStyle w:val="Heading7"/>
      <w:lvlText w:val="%1.%2.%3.%4.%5.%6.%7"/>
      <w:lvlJc w:val="left"/>
      <w:pPr>
        <w:ind w:left="-2664" w:hanging="1296"/>
      </w:pPr>
    </w:lvl>
    <w:lvl w:ilvl="7">
      <w:start w:val="1"/>
      <w:numFmt w:val="decimal"/>
      <w:pStyle w:val="Heading8"/>
      <w:lvlText w:val="%1.%2.%3.%4.%5.%6.%7.%8"/>
      <w:lvlJc w:val="left"/>
      <w:pPr>
        <w:ind w:left="-2520" w:hanging="1440"/>
      </w:pPr>
    </w:lvl>
    <w:lvl w:ilvl="8">
      <w:start w:val="1"/>
      <w:numFmt w:val="decimal"/>
      <w:pStyle w:val="Heading9"/>
      <w:lvlText w:val="%1.%2.%3.%4.%5.%6.%7.%8.%9"/>
      <w:lvlJc w:val="left"/>
      <w:pPr>
        <w:ind w:left="-2376" w:hanging="1584"/>
      </w:pPr>
    </w:lvl>
  </w:abstractNum>
  <w:abstractNum w:abstractNumId="42" w15:restartNumberingAfterBreak="0">
    <w:nsid w:val="79AA4BAD"/>
    <w:multiLevelType w:val="hybridMultilevel"/>
    <w:tmpl w:val="F398D17A"/>
    <w:lvl w:ilvl="0" w:tplc="5E5EB3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D07E30"/>
    <w:multiLevelType w:val="hybridMultilevel"/>
    <w:tmpl w:val="BDDA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A043C8"/>
    <w:multiLevelType w:val="hybridMultilevel"/>
    <w:tmpl w:val="F43AE5C4"/>
    <w:lvl w:ilvl="0" w:tplc="E5987D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EE742F8"/>
    <w:multiLevelType w:val="hybridMultilevel"/>
    <w:tmpl w:val="6344AED4"/>
    <w:lvl w:ilvl="0" w:tplc="D0E6B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8"/>
  </w:num>
  <w:num w:numId="3">
    <w:abstractNumId w:val="39"/>
  </w:num>
  <w:num w:numId="4">
    <w:abstractNumId w:val="15"/>
  </w:num>
  <w:num w:numId="5">
    <w:abstractNumId w:val="23"/>
  </w:num>
  <w:num w:numId="6">
    <w:abstractNumId w:val="35"/>
  </w:num>
  <w:num w:numId="7">
    <w:abstractNumId w:val="30"/>
  </w:num>
  <w:num w:numId="8">
    <w:abstractNumId w:val="32"/>
  </w:num>
  <w:num w:numId="9">
    <w:abstractNumId w:val="41"/>
  </w:num>
  <w:num w:numId="10">
    <w:abstractNumId w:val="12"/>
  </w:num>
  <w:num w:numId="11">
    <w:abstractNumId w:val="43"/>
  </w:num>
  <w:num w:numId="12">
    <w:abstractNumId w:val="13"/>
  </w:num>
  <w:num w:numId="13">
    <w:abstractNumId w:val="38"/>
  </w:num>
  <w:num w:numId="14">
    <w:abstractNumId w:val="20"/>
  </w:num>
  <w:num w:numId="15">
    <w:abstractNumId w:val="4"/>
  </w:num>
  <w:num w:numId="16">
    <w:abstractNumId w:val="33"/>
  </w:num>
  <w:num w:numId="17">
    <w:abstractNumId w:val="22"/>
  </w:num>
  <w:num w:numId="18">
    <w:abstractNumId w:val="3"/>
  </w:num>
  <w:num w:numId="19">
    <w:abstractNumId w:val="2"/>
  </w:num>
  <w:num w:numId="20">
    <w:abstractNumId w:val="29"/>
  </w:num>
  <w:num w:numId="21">
    <w:abstractNumId w:val="7"/>
  </w:num>
  <w:num w:numId="22">
    <w:abstractNumId w:val="9"/>
  </w:num>
  <w:num w:numId="23">
    <w:abstractNumId w:val="6"/>
  </w:num>
  <w:num w:numId="24">
    <w:abstractNumId w:val="10"/>
  </w:num>
  <w:num w:numId="25">
    <w:abstractNumId w:val="19"/>
  </w:num>
  <w:num w:numId="26">
    <w:abstractNumId w:val="42"/>
  </w:num>
  <w:num w:numId="27">
    <w:abstractNumId w:val="25"/>
  </w:num>
  <w:num w:numId="28">
    <w:abstractNumId w:val="24"/>
  </w:num>
  <w:num w:numId="29">
    <w:abstractNumId w:val="18"/>
  </w:num>
  <w:num w:numId="30">
    <w:abstractNumId w:val="11"/>
  </w:num>
  <w:num w:numId="31">
    <w:abstractNumId w:val="40"/>
  </w:num>
  <w:num w:numId="32">
    <w:abstractNumId w:val="27"/>
  </w:num>
  <w:num w:numId="33">
    <w:abstractNumId w:val="16"/>
  </w:num>
  <w:num w:numId="34">
    <w:abstractNumId w:val="36"/>
  </w:num>
  <w:num w:numId="35">
    <w:abstractNumId w:val="8"/>
  </w:num>
  <w:num w:numId="36">
    <w:abstractNumId w:val="34"/>
  </w:num>
  <w:num w:numId="37">
    <w:abstractNumId w:val="14"/>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7"/>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21"/>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26"/>
  </w:num>
  <w:num w:numId="47">
    <w:abstractNumId w:val="1"/>
  </w:num>
  <w:num w:numId="48">
    <w:abstractNumId w:val="0"/>
  </w:num>
  <w:num w:numId="49">
    <w:abstractNumId w:val="31"/>
  </w:num>
  <w:num w:numId="50">
    <w:abstractNumId w:val="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ole Thisdell">
    <w15:presenceInfo w15:providerId="AD" w15:userId="S-1-5-21-796845957-220523388-682003330-21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2sDC2MDYwNTQzMjZS0lEKTi0uzszPAykwrgUA8wrs0SwAAAA="/>
  </w:docVars>
  <w:rsids>
    <w:rsidRoot w:val="003F0D97"/>
    <w:rsid w:val="000001D6"/>
    <w:rsid w:val="00002C05"/>
    <w:rsid w:val="00004C6E"/>
    <w:rsid w:val="00004CE5"/>
    <w:rsid w:val="000061F2"/>
    <w:rsid w:val="000062FF"/>
    <w:rsid w:val="000066BE"/>
    <w:rsid w:val="000070DA"/>
    <w:rsid w:val="0000723E"/>
    <w:rsid w:val="00007897"/>
    <w:rsid w:val="000106AF"/>
    <w:rsid w:val="000115B4"/>
    <w:rsid w:val="000115D5"/>
    <w:rsid w:val="00011877"/>
    <w:rsid w:val="00011C72"/>
    <w:rsid w:val="00012296"/>
    <w:rsid w:val="00013172"/>
    <w:rsid w:val="00013BDC"/>
    <w:rsid w:val="00014A49"/>
    <w:rsid w:val="00015878"/>
    <w:rsid w:val="0001603E"/>
    <w:rsid w:val="0001652B"/>
    <w:rsid w:val="000177D8"/>
    <w:rsid w:val="00020214"/>
    <w:rsid w:val="00020B28"/>
    <w:rsid w:val="00021146"/>
    <w:rsid w:val="00022A56"/>
    <w:rsid w:val="00024939"/>
    <w:rsid w:val="0002543C"/>
    <w:rsid w:val="0002610C"/>
    <w:rsid w:val="000267A8"/>
    <w:rsid w:val="000271FD"/>
    <w:rsid w:val="0002743F"/>
    <w:rsid w:val="00027B12"/>
    <w:rsid w:val="00030328"/>
    <w:rsid w:val="00030799"/>
    <w:rsid w:val="000310D0"/>
    <w:rsid w:val="00031DC6"/>
    <w:rsid w:val="00031F6A"/>
    <w:rsid w:val="00033115"/>
    <w:rsid w:val="000343CB"/>
    <w:rsid w:val="00035130"/>
    <w:rsid w:val="00035A83"/>
    <w:rsid w:val="00036C2E"/>
    <w:rsid w:val="000376D9"/>
    <w:rsid w:val="00037BD1"/>
    <w:rsid w:val="00040A1C"/>
    <w:rsid w:val="00040A80"/>
    <w:rsid w:val="00041B19"/>
    <w:rsid w:val="00043745"/>
    <w:rsid w:val="000444D5"/>
    <w:rsid w:val="0004575A"/>
    <w:rsid w:val="000469FB"/>
    <w:rsid w:val="00047CE6"/>
    <w:rsid w:val="00047F60"/>
    <w:rsid w:val="00047FB3"/>
    <w:rsid w:val="0005019F"/>
    <w:rsid w:val="000507B1"/>
    <w:rsid w:val="00050AAB"/>
    <w:rsid w:val="000516B5"/>
    <w:rsid w:val="00051789"/>
    <w:rsid w:val="0005278C"/>
    <w:rsid w:val="0005381F"/>
    <w:rsid w:val="00053873"/>
    <w:rsid w:val="000546AC"/>
    <w:rsid w:val="000552EB"/>
    <w:rsid w:val="00055375"/>
    <w:rsid w:val="000553DA"/>
    <w:rsid w:val="00055BF2"/>
    <w:rsid w:val="0005699E"/>
    <w:rsid w:val="00057722"/>
    <w:rsid w:val="00057CF4"/>
    <w:rsid w:val="00060C59"/>
    <w:rsid w:val="000612A7"/>
    <w:rsid w:val="00061F65"/>
    <w:rsid w:val="000630B2"/>
    <w:rsid w:val="0006313B"/>
    <w:rsid w:val="00063D37"/>
    <w:rsid w:val="00063F26"/>
    <w:rsid w:val="00064F79"/>
    <w:rsid w:val="00065387"/>
    <w:rsid w:val="00065890"/>
    <w:rsid w:val="00065975"/>
    <w:rsid w:val="00065C1E"/>
    <w:rsid w:val="000662FC"/>
    <w:rsid w:val="000707FC"/>
    <w:rsid w:val="00071BA1"/>
    <w:rsid w:val="0007277F"/>
    <w:rsid w:val="00072F2D"/>
    <w:rsid w:val="00072FC2"/>
    <w:rsid w:val="00074861"/>
    <w:rsid w:val="00074BC1"/>
    <w:rsid w:val="00074BE4"/>
    <w:rsid w:val="00074C80"/>
    <w:rsid w:val="0007579C"/>
    <w:rsid w:val="00075B8A"/>
    <w:rsid w:val="00076CF8"/>
    <w:rsid w:val="000770F9"/>
    <w:rsid w:val="00077777"/>
    <w:rsid w:val="00080B53"/>
    <w:rsid w:val="000810EC"/>
    <w:rsid w:val="00081714"/>
    <w:rsid w:val="00081796"/>
    <w:rsid w:val="0008188B"/>
    <w:rsid w:val="00082DF2"/>
    <w:rsid w:val="00083643"/>
    <w:rsid w:val="00083F23"/>
    <w:rsid w:val="00084218"/>
    <w:rsid w:val="00084700"/>
    <w:rsid w:val="0008480A"/>
    <w:rsid w:val="00084B77"/>
    <w:rsid w:val="0008547C"/>
    <w:rsid w:val="00085884"/>
    <w:rsid w:val="00086E1D"/>
    <w:rsid w:val="000876E3"/>
    <w:rsid w:val="000877B7"/>
    <w:rsid w:val="000901BF"/>
    <w:rsid w:val="00090332"/>
    <w:rsid w:val="00090CB3"/>
    <w:rsid w:val="000910C7"/>
    <w:rsid w:val="0009129E"/>
    <w:rsid w:val="000912C5"/>
    <w:rsid w:val="00092848"/>
    <w:rsid w:val="000939E1"/>
    <w:rsid w:val="00093AEF"/>
    <w:rsid w:val="00094272"/>
    <w:rsid w:val="0009452D"/>
    <w:rsid w:val="00094C47"/>
    <w:rsid w:val="00094E45"/>
    <w:rsid w:val="00095371"/>
    <w:rsid w:val="00095D2B"/>
    <w:rsid w:val="0009763D"/>
    <w:rsid w:val="00097BF1"/>
    <w:rsid w:val="000A0980"/>
    <w:rsid w:val="000A1559"/>
    <w:rsid w:val="000A249D"/>
    <w:rsid w:val="000A3866"/>
    <w:rsid w:val="000A5314"/>
    <w:rsid w:val="000A5A14"/>
    <w:rsid w:val="000A5E28"/>
    <w:rsid w:val="000A606F"/>
    <w:rsid w:val="000A6139"/>
    <w:rsid w:val="000A7552"/>
    <w:rsid w:val="000A7B56"/>
    <w:rsid w:val="000B0052"/>
    <w:rsid w:val="000B16DD"/>
    <w:rsid w:val="000B2970"/>
    <w:rsid w:val="000B35FF"/>
    <w:rsid w:val="000B3C88"/>
    <w:rsid w:val="000B47E3"/>
    <w:rsid w:val="000B51F2"/>
    <w:rsid w:val="000B5C0A"/>
    <w:rsid w:val="000B606F"/>
    <w:rsid w:val="000B7D64"/>
    <w:rsid w:val="000C0006"/>
    <w:rsid w:val="000C2298"/>
    <w:rsid w:val="000C28A9"/>
    <w:rsid w:val="000C2A0D"/>
    <w:rsid w:val="000C2D00"/>
    <w:rsid w:val="000C2F3B"/>
    <w:rsid w:val="000C3544"/>
    <w:rsid w:val="000C35FA"/>
    <w:rsid w:val="000C3B50"/>
    <w:rsid w:val="000C4F39"/>
    <w:rsid w:val="000C5F6A"/>
    <w:rsid w:val="000C625B"/>
    <w:rsid w:val="000C633A"/>
    <w:rsid w:val="000C68B2"/>
    <w:rsid w:val="000C6B03"/>
    <w:rsid w:val="000C71CB"/>
    <w:rsid w:val="000C7676"/>
    <w:rsid w:val="000D0499"/>
    <w:rsid w:val="000D082E"/>
    <w:rsid w:val="000D0921"/>
    <w:rsid w:val="000D0928"/>
    <w:rsid w:val="000D0ECE"/>
    <w:rsid w:val="000D488C"/>
    <w:rsid w:val="000D4E2E"/>
    <w:rsid w:val="000D4E8C"/>
    <w:rsid w:val="000D59A6"/>
    <w:rsid w:val="000D6881"/>
    <w:rsid w:val="000D6F00"/>
    <w:rsid w:val="000D7F2B"/>
    <w:rsid w:val="000E0606"/>
    <w:rsid w:val="000E0633"/>
    <w:rsid w:val="000E06C6"/>
    <w:rsid w:val="000E09BF"/>
    <w:rsid w:val="000E1A07"/>
    <w:rsid w:val="000E21B8"/>
    <w:rsid w:val="000E26D1"/>
    <w:rsid w:val="000E31A9"/>
    <w:rsid w:val="000E4687"/>
    <w:rsid w:val="000E56D4"/>
    <w:rsid w:val="000E56DF"/>
    <w:rsid w:val="000E647D"/>
    <w:rsid w:val="000E7104"/>
    <w:rsid w:val="000E7828"/>
    <w:rsid w:val="000F0850"/>
    <w:rsid w:val="000F0DF2"/>
    <w:rsid w:val="000F1AC3"/>
    <w:rsid w:val="000F1F1B"/>
    <w:rsid w:val="000F3887"/>
    <w:rsid w:val="000F3B38"/>
    <w:rsid w:val="000F49A6"/>
    <w:rsid w:val="000F53FC"/>
    <w:rsid w:val="000F5C43"/>
    <w:rsid w:val="000F60FF"/>
    <w:rsid w:val="000F6525"/>
    <w:rsid w:val="000F702E"/>
    <w:rsid w:val="000F7C22"/>
    <w:rsid w:val="00100E8F"/>
    <w:rsid w:val="00100F55"/>
    <w:rsid w:val="00101492"/>
    <w:rsid w:val="00101C48"/>
    <w:rsid w:val="00103FC3"/>
    <w:rsid w:val="0010408A"/>
    <w:rsid w:val="00104733"/>
    <w:rsid w:val="001047A9"/>
    <w:rsid w:val="00104D3C"/>
    <w:rsid w:val="00105ECE"/>
    <w:rsid w:val="00106247"/>
    <w:rsid w:val="0010763B"/>
    <w:rsid w:val="00110031"/>
    <w:rsid w:val="001106BD"/>
    <w:rsid w:val="0011097C"/>
    <w:rsid w:val="001117D1"/>
    <w:rsid w:val="00113441"/>
    <w:rsid w:val="001140BC"/>
    <w:rsid w:val="00114276"/>
    <w:rsid w:val="00114DB5"/>
    <w:rsid w:val="001150AE"/>
    <w:rsid w:val="0011594B"/>
    <w:rsid w:val="00115FB5"/>
    <w:rsid w:val="00116A96"/>
    <w:rsid w:val="00116FCD"/>
    <w:rsid w:val="00121550"/>
    <w:rsid w:val="00121B5D"/>
    <w:rsid w:val="001230CD"/>
    <w:rsid w:val="00125A21"/>
    <w:rsid w:val="00131171"/>
    <w:rsid w:val="001315CA"/>
    <w:rsid w:val="00131751"/>
    <w:rsid w:val="00131D61"/>
    <w:rsid w:val="00133F9D"/>
    <w:rsid w:val="00134B3C"/>
    <w:rsid w:val="001375E3"/>
    <w:rsid w:val="00140CA3"/>
    <w:rsid w:val="00140DDC"/>
    <w:rsid w:val="00142BD4"/>
    <w:rsid w:val="00143401"/>
    <w:rsid w:val="00143EA5"/>
    <w:rsid w:val="00145905"/>
    <w:rsid w:val="001478FF"/>
    <w:rsid w:val="00147F76"/>
    <w:rsid w:val="00151F86"/>
    <w:rsid w:val="00152AE8"/>
    <w:rsid w:val="00152E4D"/>
    <w:rsid w:val="001530AE"/>
    <w:rsid w:val="00153849"/>
    <w:rsid w:val="0015391E"/>
    <w:rsid w:val="0015397F"/>
    <w:rsid w:val="00155826"/>
    <w:rsid w:val="00155949"/>
    <w:rsid w:val="00156BBF"/>
    <w:rsid w:val="001574AF"/>
    <w:rsid w:val="001575D9"/>
    <w:rsid w:val="00157C42"/>
    <w:rsid w:val="0016204B"/>
    <w:rsid w:val="00164467"/>
    <w:rsid w:val="00164C26"/>
    <w:rsid w:val="00165E3E"/>
    <w:rsid w:val="00166013"/>
    <w:rsid w:val="001663A5"/>
    <w:rsid w:val="0016726F"/>
    <w:rsid w:val="00167FC0"/>
    <w:rsid w:val="001706B3"/>
    <w:rsid w:val="00170A16"/>
    <w:rsid w:val="00171905"/>
    <w:rsid w:val="001721E5"/>
    <w:rsid w:val="00172B8F"/>
    <w:rsid w:val="001731EB"/>
    <w:rsid w:val="001744E5"/>
    <w:rsid w:val="00174A47"/>
    <w:rsid w:val="00174FD7"/>
    <w:rsid w:val="00174FEA"/>
    <w:rsid w:val="00175889"/>
    <w:rsid w:val="00175C9B"/>
    <w:rsid w:val="001761DA"/>
    <w:rsid w:val="00176FAF"/>
    <w:rsid w:val="0017741E"/>
    <w:rsid w:val="001775D7"/>
    <w:rsid w:val="00177D30"/>
    <w:rsid w:val="001812E3"/>
    <w:rsid w:val="00182179"/>
    <w:rsid w:val="0018255B"/>
    <w:rsid w:val="001833B6"/>
    <w:rsid w:val="00183F34"/>
    <w:rsid w:val="0018678A"/>
    <w:rsid w:val="00187F5F"/>
    <w:rsid w:val="0019032E"/>
    <w:rsid w:val="001905D9"/>
    <w:rsid w:val="001907DB"/>
    <w:rsid w:val="001917A3"/>
    <w:rsid w:val="00191819"/>
    <w:rsid w:val="00191AAA"/>
    <w:rsid w:val="00192419"/>
    <w:rsid w:val="001929E6"/>
    <w:rsid w:val="0019461C"/>
    <w:rsid w:val="00195129"/>
    <w:rsid w:val="00195392"/>
    <w:rsid w:val="00195460"/>
    <w:rsid w:val="0019635A"/>
    <w:rsid w:val="0019670A"/>
    <w:rsid w:val="00196CAA"/>
    <w:rsid w:val="001A0962"/>
    <w:rsid w:val="001A0E71"/>
    <w:rsid w:val="001A1601"/>
    <w:rsid w:val="001A1776"/>
    <w:rsid w:val="001A2245"/>
    <w:rsid w:val="001A358B"/>
    <w:rsid w:val="001A3C4F"/>
    <w:rsid w:val="001A3D77"/>
    <w:rsid w:val="001A3FB6"/>
    <w:rsid w:val="001A43BF"/>
    <w:rsid w:val="001A45FA"/>
    <w:rsid w:val="001A5252"/>
    <w:rsid w:val="001A552B"/>
    <w:rsid w:val="001A623B"/>
    <w:rsid w:val="001A7B87"/>
    <w:rsid w:val="001A7D5B"/>
    <w:rsid w:val="001A7EF4"/>
    <w:rsid w:val="001B0634"/>
    <w:rsid w:val="001B0AD3"/>
    <w:rsid w:val="001B11A4"/>
    <w:rsid w:val="001B2EBA"/>
    <w:rsid w:val="001B5093"/>
    <w:rsid w:val="001B585B"/>
    <w:rsid w:val="001B5C06"/>
    <w:rsid w:val="001B5D80"/>
    <w:rsid w:val="001B66B6"/>
    <w:rsid w:val="001B6D33"/>
    <w:rsid w:val="001B7B5B"/>
    <w:rsid w:val="001C0620"/>
    <w:rsid w:val="001C0921"/>
    <w:rsid w:val="001C0FD0"/>
    <w:rsid w:val="001C292A"/>
    <w:rsid w:val="001C2D31"/>
    <w:rsid w:val="001C433E"/>
    <w:rsid w:val="001C4566"/>
    <w:rsid w:val="001C4AF9"/>
    <w:rsid w:val="001C4EB2"/>
    <w:rsid w:val="001C65BF"/>
    <w:rsid w:val="001C67C8"/>
    <w:rsid w:val="001C6877"/>
    <w:rsid w:val="001C7002"/>
    <w:rsid w:val="001C7138"/>
    <w:rsid w:val="001C76C6"/>
    <w:rsid w:val="001D0179"/>
    <w:rsid w:val="001D12EB"/>
    <w:rsid w:val="001D1586"/>
    <w:rsid w:val="001D16D7"/>
    <w:rsid w:val="001D2F3A"/>
    <w:rsid w:val="001D418B"/>
    <w:rsid w:val="001D44A0"/>
    <w:rsid w:val="001D46AA"/>
    <w:rsid w:val="001D47FE"/>
    <w:rsid w:val="001D5D3D"/>
    <w:rsid w:val="001D7DC3"/>
    <w:rsid w:val="001E0412"/>
    <w:rsid w:val="001E0B3F"/>
    <w:rsid w:val="001E108C"/>
    <w:rsid w:val="001E1ABE"/>
    <w:rsid w:val="001E20A1"/>
    <w:rsid w:val="001E2240"/>
    <w:rsid w:val="001E2283"/>
    <w:rsid w:val="001E2A24"/>
    <w:rsid w:val="001E4447"/>
    <w:rsid w:val="001E4C21"/>
    <w:rsid w:val="001E5640"/>
    <w:rsid w:val="001E5BE2"/>
    <w:rsid w:val="001E6783"/>
    <w:rsid w:val="001E7AD7"/>
    <w:rsid w:val="001E7BE3"/>
    <w:rsid w:val="001F01B2"/>
    <w:rsid w:val="001F036B"/>
    <w:rsid w:val="001F06F1"/>
    <w:rsid w:val="001F1CA1"/>
    <w:rsid w:val="001F1EBC"/>
    <w:rsid w:val="001F20AD"/>
    <w:rsid w:val="001F3203"/>
    <w:rsid w:val="001F3CD1"/>
    <w:rsid w:val="001F456F"/>
    <w:rsid w:val="001F4A95"/>
    <w:rsid w:val="001F4DC1"/>
    <w:rsid w:val="001F58D8"/>
    <w:rsid w:val="001F5CEE"/>
    <w:rsid w:val="001F6ADA"/>
    <w:rsid w:val="001F7CA8"/>
    <w:rsid w:val="002005B8"/>
    <w:rsid w:val="00202B0E"/>
    <w:rsid w:val="00202C0C"/>
    <w:rsid w:val="002031A8"/>
    <w:rsid w:val="00204461"/>
    <w:rsid w:val="00204D13"/>
    <w:rsid w:val="00205E9F"/>
    <w:rsid w:val="00205F1E"/>
    <w:rsid w:val="002064B4"/>
    <w:rsid w:val="002115DF"/>
    <w:rsid w:val="00211DC0"/>
    <w:rsid w:val="00212B39"/>
    <w:rsid w:val="00212E73"/>
    <w:rsid w:val="0021355F"/>
    <w:rsid w:val="00213990"/>
    <w:rsid w:val="00213DD5"/>
    <w:rsid w:val="00213E20"/>
    <w:rsid w:val="002159AE"/>
    <w:rsid w:val="00216EB2"/>
    <w:rsid w:val="00217891"/>
    <w:rsid w:val="0022168E"/>
    <w:rsid w:val="00221825"/>
    <w:rsid w:val="002234C4"/>
    <w:rsid w:val="00223D55"/>
    <w:rsid w:val="002240BA"/>
    <w:rsid w:val="00224722"/>
    <w:rsid w:val="00227F3B"/>
    <w:rsid w:val="002304A8"/>
    <w:rsid w:val="0023124D"/>
    <w:rsid w:val="002326BF"/>
    <w:rsid w:val="00232BA0"/>
    <w:rsid w:val="00233AD7"/>
    <w:rsid w:val="00233DB2"/>
    <w:rsid w:val="0023421A"/>
    <w:rsid w:val="002343B3"/>
    <w:rsid w:val="0023484B"/>
    <w:rsid w:val="00235F89"/>
    <w:rsid w:val="00236007"/>
    <w:rsid w:val="0024066C"/>
    <w:rsid w:val="0024114C"/>
    <w:rsid w:val="0024122D"/>
    <w:rsid w:val="0024269D"/>
    <w:rsid w:val="00242728"/>
    <w:rsid w:val="00242EAF"/>
    <w:rsid w:val="002441FE"/>
    <w:rsid w:val="0024464A"/>
    <w:rsid w:val="00244767"/>
    <w:rsid w:val="00244B3A"/>
    <w:rsid w:val="00244F06"/>
    <w:rsid w:val="0024587E"/>
    <w:rsid w:val="00245C37"/>
    <w:rsid w:val="00246B87"/>
    <w:rsid w:val="00246D37"/>
    <w:rsid w:val="00246F88"/>
    <w:rsid w:val="002502E3"/>
    <w:rsid w:val="00250B59"/>
    <w:rsid w:val="00251103"/>
    <w:rsid w:val="00252FD6"/>
    <w:rsid w:val="002531E9"/>
    <w:rsid w:val="002532ED"/>
    <w:rsid w:val="002539A5"/>
    <w:rsid w:val="0025566F"/>
    <w:rsid w:val="00255AB2"/>
    <w:rsid w:val="00255F9C"/>
    <w:rsid w:val="002569F7"/>
    <w:rsid w:val="00256ABF"/>
    <w:rsid w:val="00257441"/>
    <w:rsid w:val="00257C85"/>
    <w:rsid w:val="00261635"/>
    <w:rsid w:val="00261768"/>
    <w:rsid w:val="00261C48"/>
    <w:rsid w:val="00261DB9"/>
    <w:rsid w:val="00262CAD"/>
    <w:rsid w:val="00263083"/>
    <w:rsid w:val="002641F5"/>
    <w:rsid w:val="0026452E"/>
    <w:rsid w:val="002649DC"/>
    <w:rsid w:val="00265F5A"/>
    <w:rsid w:val="00266459"/>
    <w:rsid w:val="00267278"/>
    <w:rsid w:val="0026748F"/>
    <w:rsid w:val="00267657"/>
    <w:rsid w:val="0027014C"/>
    <w:rsid w:val="002701D8"/>
    <w:rsid w:val="002718F4"/>
    <w:rsid w:val="002727A5"/>
    <w:rsid w:val="00274786"/>
    <w:rsid w:val="002751C7"/>
    <w:rsid w:val="0027553E"/>
    <w:rsid w:val="00275831"/>
    <w:rsid w:val="00275FD7"/>
    <w:rsid w:val="00277645"/>
    <w:rsid w:val="00277ACE"/>
    <w:rsid w:val="00280841"/>
    <w:rsid w:val="00280D92"/>
    <w:rsid w:val="00280E5E"/>
    <w:rsid w:val="00280F15"/>
    <w:rsid w:val="0028182C"/>
    <w:rsid w:val="00282481"/>
    <w:rsid w:val="002825CD"/>
    <w:rsid w:val="0028262C"/>
    <w:rsid w:val="002836EB"/>
    <w:rsid w:val="00283C60"/>
    <w:rsid w:val="00284515"/>
    <w:rsid w:val="00284868"/>
    <w:rsid w:val="00284EF8"/>
    <w:rsid w:val="00286DF2"/>
    <w:rsid w:val="00286E93"/>
    <w:rsid w:val="0028716B"/>
    <w:rsid w:val="00287AFC"/>
    <w:rsid w:val="00287DD0"/>
    <w:rsid w:val="00290478"/>
    <w:rsid w:val="002917BE"/>
    <w:rsid w:val="002917F8"/>
    <w:rsid w:val="00294A5C"/>
    <w:rsid w:val="00296855"/>
    <w:rsid w:val="002A04ED"/>
    <w:rsid w:val="002A0951"/>
    <w:rsid w:val="002A0B82"/>
    <w:rsid w:val="002A0C38"/>
    <w:rsid w:val="002A17C0"/>
    <w:rsid w:val="002A3097"/>
    <w:rsid w:val="002A3AC4"/>
    <w:rsid w:val="002A46C1"/>
    <w:rsid w:val="002A70FB"/>
    <w:rsid w:val="002A7478"/>
    <w:rsid w:val="002A75EB"/>
    <w:rsid w:val="002B05FA"/>
    <w:rsid w:val="002B074D"/>
    <w:rsid w:val="002B085D"/>
    <w:rsid w:val="002B1111"/>
    <w:rsid w:val="002B199A"/>
    <w:rsid w:val="002B1BAA"/>
    <w:rsid w:val="002B30DB"/>
    <w:rsid w:val="002B31A9"/>
    <w:rsid w:val="002B3A9F"/>
    <w:rsid w:val="002B4266"/>
    <w:rsid w:val="002B46A3"/>
    <w:rsid w:val="002B4F94"/>
    <w:rsid w:val="002C08B2"/>
    <w:rsid w:val="002C09AB"/>
    <w:rsid w:val="002C23FC"/>
    <w:rsid w:val="002C37D7"/>
    <w:rsid w:val="002C4739"/>
    <w:rsid w:val="002C49C4"/>
    <w:rsid w:val="002C54B4"/>
    <w:rsid w:val="002C5743"/>
    <w:rsid w:val="002C57E5"/>
    <w:rsid w:val="002D0209"/>
    <w:rsid w:val="002D07F4"/>
    <w:rsid w:val="002D12B0"/>
    <w:rsid w:val="002D1A6B"/>
    <w:rsid w:val="002D1E9D"/>
    <w:rsid w:val="002D258A"/>
    <w:rsid w:val="002D2A5F"/>
    <w:rsid w:val="002D52D2"/>
    <w:rsid w:val="002D5915"/>
    <w:rsid w:val="002D620F"/>
    <w:rsid w:val="002D7309"/>
    <w:rsid w:val="002D7E8D"/>
    <w:rsid w:val="002E03B3"/>
    <w:rsid w:val="002E1EBF"/>
    <w:rsid w:val="002E258D"/>
    <w:rsid w:val="002E27BB"/>
    <w:rsid w:val="002E2C2A"/>
    <w:rsid w:val="002E5C58"/>
    <w:rsid w:val="002E68D9"/>
    <w:rsid w:val="002E715A"/>
    <w:rsid w:val="002E74E5"/>
    <w:rsid w:val="002E7ECE"/>
    <w:rsid w:val="002F0487"/>
    <w:rsid w:val="002F06E5"/>
    <w:rsid w:val="002F1BBA"/>
    <w:rsid w:val="002F1C41"/>
    <w:rsid w:val="002F1D14"/>
    <w:rsid w:val="002F26C6"/>
    <w:rsid w:val="002F2F28"/>
    <w:rsid w:val="002F2FFD"/>
    <w:rsid w:val="002F39F7"/>
    <w:rsid w:val="002F3C1D"/>
    <w:rsid w:val="002F467A"/>
    <w:rsid w:val="002F5360"/>
    <w:rsid w:val="002F6520"/>
    <w:rsid w:val="002F6A9C"/>
    <w:rsid w:val="002F780A"/>
    <w:rsid w:val="002F7BCC"/>
    <w:rsid w:val="003008AB"/>
    <w:rsid w:val="00300ED9"/>
    <w:rsid w:val="003036D3"/>
    <w:rsid w:val="00304C8E"/>
    <w:rsid w:val="00305CC1"/>
    <w:rsid w:val="00310036"/>
    <w:rsid w:val="0031005A"/>
    <w:rsid w:val="003119A2"/>
    <w:rsid w:val="003125AC"/>
    <w:rsid w:val="00314661"/>
    <w:rsid w:val="003161AC"/>
    <w:rsid w:val="003164A5"/>
    <w:rsid w:val="00316E83"/>
    <w:rsid w:val="003177DD"/>
    <w:rsid w:val="0032204E"/>
    <w:rsid w:val="00322D70"/>
    <w:rsid w:val="00323DD5"/>
    <w:rsid w:val="0032518A"/>
    <w:rsid w:val="00325A2B"/>
    <w:rsid w:val="00325AF9"/>
    <w:rsid w:val="00325E7A"/>
    <w:rsid w:val="00326083"/>
    <w:rsid w:val="003262F4"/>
    <w:rsid w:val="00326502"/>
    <w:rsid w:val="00327F34"/>
    <w:rsid w:val="00330F11"/>
    <w:rsid w:val="00331624"/>
    <w:rsid w:val="0033194A"/>
    <w:rsid w:val="00333AAD"/>
    <w:rsid w:val="00334960"/>
    <w:rsid w:val="003355DC"/>
    <w:rsid w:val="0033590A"/>
    <w:rsid w:val="00335A8B"/>
    <w:rsid w:val="0033620D"/>
    <w:rsid w:val="0033643F"/>
    <w:rsid w:val="00336B5D"/>
    <w:rsid w:val="00336B71"/>
    <w:rsid w:val="00337F36"/>
    <w:rsid w:val="00341A6B"/>
    <w:rsid w:val="00341E93"/>
    <w:rsid w:val="00342AAA"/>
    <w:rsid w:val="00342D09"/>
    <w:rsid w:val="00342DEF"/>
    <w:rsid w:val="00343867"/>
    <w:rsid w:val="0034406E"/>
    <w:rsid w:val="003459E3"/>
    <w:rsid w:val="00345B6E"/>
    <w:rsid w:val="00345B7F"/>
    <w:rsid w:val="003460AE"/>
    <w:rsid w:val="00346D64"/>
    <w:rsid w:val="003516CA"/>
    <w:rsid w:val="00351D48"/>
    <w:rsid w:val="00351D90"/>
    <w:rsid w:val="00352081"/>
    <w:rsid w:val="00352780"/>
    <w:rsid w:val="00353A58"/>
    <w:rsid w:val="00353C96"/>
    <w:rsid w:val="00354DA4"/>
    <w:rsid w:val="00355C0F"/>
    <w:rsid w:val="00356CFC"/>
    <w:rsid w:val="00357F11"/>
    <w:rsid w:val="00360954"/>
    <w:rsid w:val="00362838"/>
    <w:rsid w:val="00363400"/>
    <w:rsid w:val="00363A9B"/>
    <w:rsid w:val="00363EFD"/>
    <w:rsid w:val="0036450C"/>
    <w:rsid w:val="00364B6E"/>
    <w:rsid w:val="00364D45"/>
    <w:rsid w:val="00366F05"/>
    <w:rsid w:val="00367074"/>
    <w:rsid w:val="00367B08"/>
    <w:rsid w:val="00372052"/>
    <w:rsid w:val="00372075"/>
    <w:rsid w:val="003724C5"/>
    <w:rsid w:val="00373098"/>
    <w:rsid w:val="003730EB"/>
    <w:rsid w:val="0037432A"/>
    <w:rsid w:val="003747CB"/>
    <w:rsid w:val="003761E5"/>
    <w:rsid w:val="00376B45"/>
    <w:rsid w:val="00377221"/>
    <w:rsid w:val="003806CF"/>
    <w:rsid w:val="00380C97"/>
    <w:rsid w:val="0038120A"/>
    <w:rsid w:val="00381304"/>
    <w:rsid w:val="00381623"/>
    <w:rsid w:val="00381DD6"/>
    <w:rsid w:val="003820C3"/>
    <w:rsid w:val="00382CF0"/>
    <w:rsid w:val="00383002"/>
    <w:rsid w:val="003835CF"/>
    <w:rsid w:val="003837DC"/>
    <w:rsid w:val="00384406"/>
    <w:rsid w:val="0038463F"/>
    <w:rsid w:val="00384A6D"/>
    <w:rsid w:val="00384AEC"/>
    <w:rsid w:val="00384F5F"/>
    <w:rsid w:val="00385306"/>
    <w:rsid w:val="003853CD"/>
    <w:rsid w:val="00385A98"/>
    <w:rsid w:val="0038694D"/>
    <w:rsid w:val="003871DE"/>
    <w:rsid w:val="003914B0"/>
    <w:rsid w:val="0039153F"/>
    <w:rsid w:val="00391B95"/>
    <w:rsid w:val="00391C01"/>
    <w:rsid w:val="00392773"/>
    <w:rsid w:val="00393CCC"/>
    <w:rsid w:val="003949BC"/>
    <w:rsid w:val="00394A13"/>
    <w:rsid w:val="003951EC"/>
    <w:rsid w:val="00397252"/>
    <w:rsid w:val="003976E3"/>
    <w:rsid w:val="003A0F23"/>
    <w:rsid w:val="003A0F9F"/>
    <w:rsid w:val="003A12D2"/>
    <w:rsid w:val="003A139C"/>
    <w:rsid w:val="003A1568"/>
    <w:rsid w:val="003A1A02"/>
    <w:rsid w:val="003A1DA2"/>
    <w:rsid w:val="003A201F"/>
    <w:rsid w:val="003A298E"/>
    <w:rsid w:val="003A3B42"/>
    <w:rsid w:val="003A3F22"/>
    <w:rsid w:val="003A457E"/>
    <w:rsid w:val="003A47B5"/>
    <w:rsid w:val="003A49D8"/>
    <w:rsid w:val="003A595A"/>
    <w:rsid w:val="003A597A"/>
    <w:rsid w:val="003A643A"/>
    <w:rsid w:val="003A6AA6"/>
    <w:rsid w:val="003A77B6"/>
    <w:rsid w:val="003B0261"/>
    <w:rsid w:val="003B06A9"/>
    <w:rsid w:val="003B0F6B"/>
    <w:rsid w:val="003B16BA"/>
    <w:rsid w:val="003B16D9"/>
    <w:rsid w:val="003B206D"/>
    <w:rsid w:val="003B23C9"/>
    <w:rsid w:val="003B24AF"/>
    <w:rsid w:val="003B28B7"/>
    <w:rsid w:val="003B2B51"/>
    <w:rsid w:val="003B3D6F"/>
    <w:rsid w:val="003B3E43"/>
    <w:rsid w:val="003B5739"/>
    <w:rsid w:val="003B5929"/>
    <w:rsid w:val="003B5A64"/>
    <w:rsid w:val="003B5F3C"/>
    <w:rsid w:val="003B5FEC"/>
    <w:rsid w:val="003B61F6"/>
    <w:rsid w:val="003B6383"/>
    <w:rsid w:val="003B6AF6"/>
    <w:rsid w:val="003B70B1"/>
    <w:rsid w:val="003C0082"/>
    <w:rsid w:val="003C0AEC"/>
    <w:rsid w:val="003C125F"/>
    <w:rsid w:val="003C2064"/>
    <w:rsid w:val="003C2DCC"/>
    <w:rsid w:val="003C3427"/>
    <w:rsid w:val="003C3BD2"/>
    <w:rsid w:val="003C4197"/>
    <w:rsid w:val="003C500D"/>
    <w:rsid w:val="003C502F"/>
    <w:rsid w:val="003C5AE5"/>
    <w:rsid w:val="003C5E0E"/>
    <w:rsid w:val="003C60D4"/>
    <w:rsid w:val="003C79E6"/>
    <w:rsid w:val="003C7A6E"/>
    <w:rsid w:val="003D078F"/>
    <w:rsid w:val="003D1BAA"/>
    <w:rsid w:val="003D24CE"/>
    <w:rsid w:val="003D2B89"/>
    <w:rsid w:val="003D44F0"/>
    <w:rsid w:val="003D4A35"/>
    <w:rsid w:val="003D5762"/>
    <w:rsid w:val="003D57A7"/>
    <w:rsid w:val="003D58DD"/>
    <w:rsid w:val="003D6275"/>
    <w:rsid w:val="003D6403"/>
    <w:rsid w:val="003D6474"/>
    <w:rsid w:val="003E1203"/>
    <w:rsid w:val="003E14BC"/>
    <w:rsid w:val="003E1505"/>
    <w:rsid w:val="003E2AA8"/>
    <w:rsid w:val="003E33E9"/>
    <w:rsid w:val="003E369C"/>
    <w:rsid w:val="003E54C2"/>
    <w:rsid w:val="003E5D61"/>
    <w:rsid w:val="003E703D"/>
    <w:rsid w:val="003E706D"/>
    <w:rsid w:val="003E7142"/>
    <w:rsid w:val="003E7EE4"/>
    <w:rsid w:val="003F094F"/>
    <w:rsid w:val="003F0BD0"/>
    <w:rsid w:val="003F0D97"/>
    <w:rsid w:val="003F14E9"/>
    <w:rsid w:val="003F180E"/>
    <w:rsid w:val="003F1BD6"/>
    <w:rsid w:val="003F24DB"/>
    <w:rsid w:val="003F2D92"/>
    <w:rsid w:val="003F30C9"/>
    <w:rsid w:val="003F39EB"/>
    <w:rsid w:val="003F40A4"/>
    <w:rsid w:val="003F59D6"/>
    <w:rsid w:val="003F6240"/>
    <w:rsid w:val="003F6545"/>
    <w:rsid w:val="003F65E6"/>
    <w:rsid w:val="003F6975"/>
    <w:rsid w:val="003F76A3"/>
    <w:rsid w:val="00400347"/>
    <w:rsid w:val="00400796"/>
    <w:rsid w:val="00400F6D"/>
    <w:rsid w:val="00401AFF"/>
    <w:rsid w:val="00401BB8"/>
    <w:rsid w:val="00403239"/>
    <w:rsid w:val="00403FDC"/>
    <w:rsid w:val="00404424"/>
    <w:rsid w:val="00405338"/>
    <w:rsid w:val="00406207"/>
    <w:rsid w:val="0040626D"/>
    <w:rsid w:val="004063E0"/>
    <w:rsid w:val="004068B9"/>
    <w:rsid w:val="00406B99"/>
    <w:rsid w:val="00410014"/>
    <w:rsid w:val="00410A5E"/>
    <w:rsid w:val="00410BEC"/>
    <w:rsid w:val="00411032"/>
    <w:rsid w:val="00412083"/>
    <w:rsid w:val="00413400"/>
    <w:rsid w:val="004147E7"/>
    <w:rsid w:val="004151B9"/>
    <w:rsid w:val="00415847"/>
    <w:rsid w:val="00415906"/>
    <w:rsid w:val="00416F86"/>
    <w:rsid w:val="00417841"/>
    <w:rsid w:val="00417AB4"/>
    <w:rsid w:val="004204FC"/>
    <w:rsid w:val="004206AE"/>
    <w:rsid w:val="004208E1"/>
    <w:rsid w:val="00420C9F"/>
    <w:rsid w:val="004219E1"/>
    <w:rsid w:val="00421B6A"/>
    <w:rsid w:val="00421E07"/>
    <w:rsid w:val="00423055"/>
    <w:rsid w:val="004236C2"/>
    <w:rsid w:val="00423D6A"/>
    <w:rsid w:val="004241B4"/>
    <w:rsid w:val="004243F7"/>
    <w:rsid w:val="00426540"/>
    <w:rsid w:val="004304DE"/>
    <w:rsid w:val="004317C0"/>
    <w:rsid w:val="00431A08"/>
    <w:rsid w:val="00432A8F"/>
    <w:rsid w:val="00432B70"/>
    <w:rsid w:val="00433650"/>
    <w:rsid w:val="00436990"/>
    <w:rsid w:val="00437700"/>
    <w:rsid w:val="004378C5"/>
    <w:rsid w:val="00440AE7"/>
    <w:rsid w:val="00440D0E"/>
    <w:rsid w:val="00441A36"/>
    <w:rsid w:val="004431FB"/>
    <w:rsid w:val="00443FDA"/>
    <w:rsid w:val="00445145"/>
    <w:rsid w:val="0044517E"/>
    <w:rsid w:val="00445776"/>
    <w:rsid w:val="00445ADF"/>
    <w:rsid w:val="0044631D"/>
    <w:rsid w:val="00447ED3"/>
    <w:rsid w:val="00450D6D"/>
    <w:rsid w:val="00450D73"/>
    <w:rsid w:val="00451208"/>
    <w:rsid w:val="0045257D"/>
    <w:rsid w:val="00453AA1"/>
    <w:rsid w:val="0045481B"/>
    <w:rsid w:val="00454B81"/>
    <w:rsid w:val="00454BCD"/>
    <w:rsid w:val="00454BE3"/>
    <w:rsid w:val="00454E48"/>
    <w:rsid w:val="00454EA4"/>
    <w:rsid w:val="004557B4"/>
    <w:rsid w:val="00456127"/>
    <w:rsid w:val="00456510"/>
    <w:rsid w:val="004572B6"/>
    <w:rsid w:val="00460907"/>
    <w:rsid w:val="0046148F"/>
    <w:rsid w:val="004635B7"/>
    <w:rsid w:val="00463FA4"/>
    <w:rsid w:val="00464C1A"/>
    <w:rsid w:val="004650F0"/>
    <w:rsid w:val="00465662"/>
    <w:rsid w:val="0046576D"/>
    <w:rsid w:val="00465F84"/>
    <w:rsid w:val="004669AA"/>
    <w:rsid w:val="00466EE7"/>
    <w:rsid w:val="004678AF"/>
    <w:rsid w:val="00470877"/>
    <w:rsid w:val="00470CC5"/>
    <w:rsid w:val="00470E55"/>
    <w:rsid w:val="00470E85"/>
    <w:rsid w:val="004715E1"/>
    <w:rsid w:val="00473523"/>
    <w:rsid w:val="0047389C"/>
    <w:rsid w:val="00473E92"/>
    <w:rsid w:val="00474FE6"/>
    <w:rsid w:val="00475941"/>
    <w:rsid w:val="00475C9E"/>
    <w:rsid w:val="0047612C"/>
    <w:rsid w:val="0047639F"/>
    <w:rsid w:val="004763C2"/>
    <w:rsid w:val="00477DF2"/>
    <w:rsid w:val="00477F36"/>
    <w:rsid w:val="004812EF"/>
    <w:rsid w:val="00481884"/>
    <w:rsid w:val="004818A7"/>
    <w:rsid w:val="00481BDC"/>
    <w:rsid w:val="0048249B"/>
    <w:rsid w:val="00482FB3"/>
    <w:rsid w:val="00484C25"/>
    <w:rsid w:val="00485C52"/>
    <w:rsid w:val="0048694C"/>
    <w:rsid w:val="004911E6"/>
    <w:rsid w:val="0049149C"/>
    <w:rsid w:val="00491550"/>
    <w:rsid w:val="00492939"/>
    <w:rsid w:val="00492CD3"/>
    <w:rsid w:val="004933F1"/>
    <w:rsid w:val="00493C90"/>
    <w:rsid w:val="004A1230"/>
    <w:rsid w:val="004A3FC8"/>
    <w:rsid w:val="004A47C7"/>
    <w:rsid w:val="004A51F9"/>
    <w:rsid w:val="004A6D98"/>
    <w:rsid w:val="004A6F1E"/>
    <w:rsid w:val="004A7162"/>
    <w:rsid w:val="004A7FB6"/>
    <w:rsid w:val="004B0860"/>
    <w:rsid w:val="004B1DD5"/>
    <w:rsid w:val="004B23E5"/>
    <w:rsid w:val="004B324F"/>
    <w:rsid w:val="004B3E88"/>
    <w:rsid w:val="004B7819"/>
    <w:rsid w:val="004B7886"/>
    <w:rsid w:val="004B7E3A"/>
    <w:rsid w:val="004C1024"/>
    <w:rsid w:val="004C149B"/>
    <w:rsid w:val="004C20DE"/>
    <w:rsid w:val="004C2166"/>
    <w:rsid w:val="004C21E3"/>
    <w:rsid w:val="004C25AE"/>
    <w:rsid w:val="004C3795"/>
    <w:rsid w:val="004C39FD"/>
    <w:rsid w:val="004C3D48"/>
    <w:rsid w:val="004C4570"/>
    <w:rsid w:val="004C46D7"/>
    <w:rsid w:val="004C5F3B"/>
    <w:rsid w:val="004C72D0"/>
    <w:rsid w:val="004C7C3F"/>
    <w:rsid w:val="004C7DA1"/>
    <w:rsid w:val="004D0EC9"/>
    <w:rsid w:val="004D2033"/>
    <w:rsid w:val="004D2592"/>
    <w:rsid w:val="004D2844"/>
    <w:rsid w:val="004D2B41"/>
    <w:rsid w:val="004D41F4"/>
    <w:rsid w:val="004D4D90"/>
    <w:rsid w:val="004D4DCF"/>
    <w:rsid w:val="004D5B9D"/>
    <w:rsid w:val="004D6A43"/>
    <w:rsid w:val="004D7285"/>
    <w:rsid w:val="004D742F"/>
    <w:rsid w:val="004D7908"/>
    <w:rsid w:val="004D7E7E"/>
    <w:rsid w:val="004E0431"/>
    <w:rsid w:val="004E0B6D"/>
    <w:rsid w:val="004E0F5C"/>
    <w:rsid w:val="004E104A"/>
    <w:rsid w:val="004E1A9F"/>
    <w:rsid w:val="004E1DC4"/>
    <w:rsid w:val="004E202E"/>
    <w:rsid w:val="004E24CE"/>
    <w:rsid w:val="004E268A"/>
    <w:rsid w:val="004E5176"/>
    <w:rsid w:val="004E5764"/>
    <w:rsid w:val="004E6006"/>
    <w:rsid w:val="004E66C0"/>
    <w:rsid w:val="004E677E"/>
    <w:rsid w:val="004E71A0"/>
    <w:rsid w:val="004E71D5"/>
    <w:rsid w:val="004E782D"/>
    <w:rsid w:val="004E7DDC"/>
    <w:rsid w:val="004F0CA0"/>
    <w:rsid w:val="004F1CB9"/>
    <w:rsid w:val="004F2152"/>
    <w:rsid w:val="004F27E0"/>
    <w:rsid w:val="004F3371"/>
    <w:rsid w:val="004F39B0"/>
    <w:rsid w:val="004F4320"/>
    <w:rsid w:val="00500F67"/>
    <w:rsid w:val="00501B36"/>
    <w:rsid w:val="00502FCE"/>
    <w:rsid w:val="0050306A"/>
    <w:rsid w:val="00503218"/>
    <w:rsid w:val="005037BD"/>
    <w:rsid w:val="00505191"/>
    <w:rsid w:val="005066F0"/>
    <w:rsid w:val="00506F2D"/>
    <w:rsid w:val="005078F0"/>
    <w:rsid w:val="00511338"/>
    <w:rsid w:val="00511412"/>
    <w:rsid w:val="005122CF"/>
    <w:rsid w:val="00512B4F"/>
    <w:rsid w:val="00515910"/>
    <w:rsid w:val="00515B05"/>
    <w:rsid w:val="00516181"/>
    <w:rsid w:val="005164D1"/>
    <w:rsid w:val="00517040"/>
    <w:rsid w:val="00517269"/>
    <w:rsid w:val="00517619"/>
    <w:rsid w:val="00517993"/>
    <w:rsid w:val="00517DA2"/>
    <w:rsid w:val="00521776"/>
    <w:rsid w:val="005220A9"/>
    <w:rsid w:val="005226C9"/>
    <w:rsid w:val="00522C85"/>
    <w:rsid w:val="00523581"/>
    <w:rsid w:val="00523C21"/>
    <w:rsid w:val="00524AA8"/>
    <w:rsid w:val="0052522D"/>
    <w:rsid w:val="00525F8D"/>
    <w:rsid w:val="00526D61"/>
    <w:rsid w:val="00526DAC"/>
    <w:rsid w:val="00526E67"/>
    <w:rsid w:val="00527557"/>
    <w:rsid w:val="00527A7A"/>
    <w:rsid w:val="00531C29"/>
    <w:rsid w:val="00531F8E"/>
    <w:rsid w:val="00532ED6"/>
    <w:rsid w:val="00533637"/>
    <w:rsid w:val="0053467C"/>
    <w:rsid w:val="00535B5F"/>
    <w:rsid w:val="0053627D"/>
    <w:rsid w:val="005370EC"/>
    <w:rsid w:val="00537491"/>
    <w:rsid w:val="0053778B"/>
    <w:rsid w:val="00541206"/>
    <w:rsid w:val="005418AE"/>
    <w:rsid w:val="005433C7"/>
    <w:rsid w:val="005439CC"/>
    <w:rsid w:val="00544B54"/>
    <w:rsid w:val="005459C5"/>
    <w:rsid w:val="00545CE7"/>
    <w:rsid w:val="0054659E"/>
    <w:rsid w:val="005467CB"/>
    <w:rsid w:val="00546A9D"/>
    <w:rsid w:val="00546B65"/>
    <w:rsid w:val="00546E67"/>
    <w:rsid w:val="00547248"/>
    <w:rsid w:val="00550447"/>
    <w:rsid w:val="0055181B"/>
    <w:rsid w:val="005519D5"/>
    <w:rsid w:val="00551FF6"/>
    <w:rsid w:val="0055394B"/>
    <w:rsid w:val="00555491"/>
    <w:rsid w:val="005554F3"/>
    <w:rsid w:val="005569D9"/>
    <w:rsid w:val="00557DA4"/>
    <w:rsid w:val="005611F6"/>
    <w:rsid w:val="0056473A"/>
    <w:rsid w:val="005647F0"/>
    <w:rsid w:val="00564E25"/>
    <w:rsid w:val="00564F1C"/>
    <w:rsid w:val="0056627B"/>
    <w:rsid w:val="0056687B"/>
    <w:rsid w:val="005678DD"/>
    <w:rsid w:val="00567C63"/>
    <w:rsid w:val="00570227"/>
    <w:rsid w:val="00572B04"/>
    <w:rsid w:val="00572B41"/>
    <w:rsid w:val="0057361C"/>
    <w:rsid w:val="00573C3D"/>
    <w:rsid w:val="00573D01"/>
    <w:rsid w:val="00573E4B"/>
    <w:rsid w:val="005748C0"/>
    <w:rsid w:val="005753A3"/>
    <w:rsid w:val="00575A46"/>
    <w:rsid w:val="00575EFF"/>
    <w:rsid w:val="0057697A"/>
    <w:rsid w:val="00576B68"/>
    <w:rsid w:val="00576C87"/>
    <w:rsid w:val="00577008"/>
    <w:rsid w:val="005815C8"/>
    <w:rsid w:val="00583AC0"/>
    <w:rsid w:val="00583EC5"/>
    <w:rsid w:val="00583F94"/>
    <w:rsid w:val="00584776"/>
    <w:rsid w:val="00585922"/>
    <w:rsid w:val="005865B8"/>
    <w:rsid w:val="0058717A"/>
    <w:rsid w:val="005872C3"/>
    <w:rsid w:val="0058767A"/>
    <w:rsid w:val="00590EBE"/>
    <w:rsid w:val="0059137A"/>
    <w:rsid w:val="005917EA"/>
    <w:rsid w:val="00592DEF"/>
    <w:rsid w:val="005942F7"/>
    <w:rsid w:val="0059481F"/>
    <w:rsid w:val="00594DEF"/>
    <w:rsid w:val="00595068"/>
    <w:rsid w:val="005959B6"/>
    <w:rsid w:val="00595D04"/>
    <w:rsid w:val="0059604B"/>
    <w:rsid w:val="00597166"/>
    <w:rsid w:val="00597509"/>
    <w:rsid w:val="005A0035"/>
    <w:rsid w:val="005A0B10"/>
    <w:rsid w:val="005A13CC"/>
    <w:rsid w:val="005A2341"/>
    <w:rsid w:val="005A37D4"/>
    <w:rsid w:val="005A5534"/>
    <w:rsid w:val="005A5A4D"/>
    <w:rsid w:val="005A6358"/>
    <w:rsid w:val="005A6F49"/>
    <w:rsid w:val="005A796E"/>
    <w:rsid w:val="005A7DF6"/>
    <w:rsid w:val="005B032A"/>
    <w:rsid w:val="005B093F"/>
    <w:rsid w:val="005B09CD"/>
    <w:rsid w:val="005B1BBE"/>
    <w:rsid w:val="005B2918"/>
    <w:rsid w:val="005B2E07"/>
    <w:rsid w:val="005B2EDB"/>
    <w:rsid w:val="005B6727"/>
    <w:rsid w:val="005B69CD"/>
    <w:rsid w:val="005B74AA"/>
    <w:rsid w:val="005B7EAC"/>
    <w:rsid w:val="005C18DE"/>
    <w:rsid w:val="005C3656"/>
    <w:rsid w:val="005C38E1"/>
    <w:rsid w:val="005C41C8"/>
    <w:rsid w:val="005C46A0"/>
    <w:rsid w:val="005C488F"/>
    <w:rsid w:val="005C51A2"/>
    <w:rsid w:val="005C727C"/>
    <w:rsid w:val="005C7C5B"/>
    <w:rsid w:val="005D1684"/>
    <w:rsid w:val="005D1C8F"/>
    <w:rsid w:val="005D1EF5"/>
    <w:rsid w:val="005D3046"/>
    <w:rsid w:val="005D39F6"/>
    <w:rsid w:val="005D4BFD"/>
    <w:rsid w:val="005D5690"/>
    <w:rsid w:val="005D57C8"/>
    <w:rsid w:val="005D5CBB"/>
    <w:rsid w:val="005D5D6A"/>
    <w:rsid w:val="005D73D7"/>
    <w:rsid w:val="005D798B"/>
    <w:rsid w:val="005E03FD"/>
    <w:rsid w:val="005E1A03"/>
    <w:rsid w:val="005E1D41"/>
    <w:rsid w:val="005E1FFC"/>
    <w:rsid w:val="005E3DDC"/>
    <w:rsid w:val="005E3F2E"/>
    <w:rsid w:val="005E467E"/>
    <w:rsid w:val="005E5AED"/>
    <w:rsid w:val="005E66E8"/>
    <w:rsid w:val="005E67B5"/>
    <w:rsid w:val="005E692B"/>
    <w:rsid w:val="005E6B9B"/>
    <w:rsid w:val="005E6E2B"/>
    <w:rsid w:val="005E6FFE"/>
    <w:rsid w:val="005F0981"/>
    <w:rsid w:val="005F0CB7"/>
    <w:rsid w:val="005F1038"/>
    <w:rsid w:val="005F23F8"/>
    <w:rsid w:val="005F3088"/>
    <w:rsid w:val="005F34E3"/>
    <w:rsid w:val="005F5AB0"/>
    <w:rsid w:val="005F7762"/>
    <w:rsid w:val="005F7D45"/>
    <w:rsid w:val="005F7E60"/>
    <w:rsid w:val="0060085A"/>
    <w:rsid w:val="006008AB"/>
    <w:rsid w:val="006012A7"/>
    <w:rsid w:val="00601EA2"/>
    <w:rsid w:val="006027AE"/>
    <w:rsid w:val="00602DCA"/>
    <w:rsid w:val="00602F42"/>
    <w:rsid w:val="006032E7"/>
    <w:rsid w:val="0060390D"/>
    <w:rsid w:val="00603B0F"/>
    <w:rsid w:val="006049D3"/>
    <w:rsid w:val="00604B87"/>
    <w:rsid w:val="006055C9"/>
    <w:rsid w:val="00605A0D"/>
    <w:rsid w:val="00606753"/>
    <w:rsid w:val="00607CB5"/>
    <w:rsid w:val="0061144C"/>
    <w:rsid w:val="0061207A"/>
    <w:rsid w:val="006125CE"/>
    <w:rsid w:val="00612F7C"/>
    <w:rsid w:val="0061341C"/>
    <w:rsid w:val="006136F3"/>
    <w:rsid w:val="00613D4F"/>
    <w:rsid w:val="00614409"/>
    <w:rsid w:val="00616E13"/>
    <w:rsid w:val="00617B02"/>
    <w:rsid w:val="00623A5C"/>
    <w:rsid w:val="006241C1"/>
    <w:rsid w:val="00624579"/>
    <w:rsid w:val="00624C5A"/>
    <w:rsid w:val="006265AA"/>
    <w:rsid w:val="00626CD5"/>
    <w:rsid w:val="00626DB9"/>
    <w:rsid w:val="006271AE"/>
    <w:rsid w:val="00630842"/>
    <w:rsid w:val="00631949"/>
    <w:rsid w:val="00632305"/>
    <w:rsid w:val="0063249C"/>
    <w:rsid w:val="00632822"/>
    <w:rsid w:val="00634991"/>
    <w:rsid w:val="00635118"/>
    <w:rsid w:val="00636261"/>
    <w:rsid w:val="0063692D"/>
    <w:rsid w:val="00637FF0"/>
    <w:rsid w:val="0064007D"/>
    <w:rsid w:val="00641036"/>
    <w:rsid w:val="00642487"/>
    <w:rsid w:val="00643F86"/>
    <w:rsid w:val="00643FAE"/>
    <w:rsid w:val="0064408E"/>
    <w:rsid w:val="0064507F"/>
    <w:rsid w:val="006454C8"/>
    <w:rsid w:val="006459C7"/>
    <w:rsid w:val="00645C03"/>
    <w:rsid w:val="00645EBD"/>
    <w:rsid w:val="0064725E"/>
    <w:rsid w:val="00647F6E"/>
    <w:rsid w:val="006511E7"/>
    <w:rsid w:val="00651AEC"/>
    <w:rsid w:val="00653129"/>
    <w:rsid w:val="006536B8"/>
    <w:rsid w:val="00653D61"/>
    <w:rsid w:val="00654139"/>
    <w:rsid w:val="00654420"/>
    <w:rsid w:val="0065524E"/>
    <w:rsid w:val="006555AF"/>
    <w:rsid w:val="006556D9"/>
    <w:rsid w:val="00656313"/>
    <w:rsid w:val="00656A40"/>
    <w:rsid w:val="00657273"/>
    <w:rsid w:val="006572C4"/>
    <w:rsid w:val="006574E6"/>
    <w:rsid w:val="00660A8D"/>
    <w:rsid w:val="00660B92"/>
    <w:rsid w:val="00660F10"/>
    <w:rsid w:val="0066175F"/>
    <w:rsid w:val="00661CEC"/>
    <w:rsid w:val="00662F37"/>
    <w:rsid w:val="0066315D"/>
    <w:rsid w:val="00663DB1"/>
    <w:rsid w:val="006654BD"/>
    <w:rsid w:val="0066655E"/>
    <w:rsid w:val="00666E71"/>
    <w:rsid w:val="00667CBC"/>
    <w:rsid w:val="0067081B"/>
    <w:rsid w:val="00671E5C"/>
    <w:rsid w:val="00671F3D"/>
    <w:rsid w:val="006723A9"/>
    <w:rsid w:val="00674F5D"/>
    <w:rsid w:val="00677295"/>
    <w:rsid w:val="00677962"/>
    <w:rsid w:val="00681BCE"/>
    <w:rsid w:val="00682319"/>
    <w:rsid w:val="00683AFE"/>
    <w:rsid w:val="00683DBE"/>
    <w:rsid w:val="006862B2"/>
    <w:rsid w:val="00686713"/>
    <w:rsid w:val="006874B3"/>
    <w:rsid w:val="00687902"/>
    <w:rsid w:val="006923F7"/>
    <w:rsid w:val="006928B3"/>
    <w:rsid w:val="00693EBA"/>
    <w:rsid w:val="00694005"/>
    <w:rsid w:val="0069410C"/>
    <w:rsid w:val="0069507D"/>
    <w:rsid w:val="00695E58"/>
    <w:rsid w:val="00696414"/>
    <w:rsid w:val="006968E5"/>
    <w:rsid w:val="00697DB6"/>
    <w:rsid w:val="006A0148"/>
    <w:rsid w:val="006A1568"/>
    <w:rsid w:val="006A1E34"/>
    <w:rsid w:val="006A1F93"/>
    <w:rsid w:val="006A2717"/>
    <w:rsid w:val="006A2DC1"/>
    <w:rsid w:val="006A35FB"/>
    <w:rsid w:val="006A3F24"/>
    <w:rsid w:val="006A4001"/>
    <w:rsid w:val="006A4D55"/>
    <w:rsid w:val="006A52C8"/>
    <w:rsid w:val="006A5599"/>
    <w:rsid w:val="006A559B"/>
    <w:rsid w:val="006A7E6D"/>
    <w:rsid w:val="006B0697"/>
    <w:rsid w:val="006B1877"/>
    <w:rsid w:val="006B1A8F"/>
    <w:rsid w:val="006B259E"/>
    <w:rsid w:val="006B2965"/>
    <w:rsid w:val="006B3EF8"/>
    <w:rsid w:val="006B4DF0"/>
    <w:rsid w:val="006B5462"/>
    <w:rsid w:val="006B7842"/>
    <w:rsid w:val="006B7852"/>
    <w:rsid w:val="006B7F68"/>
    <w:rsid w:val="006C0290"/>
    <w:rsid w:val="006C038B"/>
    <w:rsid w:val="006C1248"/>
    <w:rsid w:val="006C1E96"/>
    <w:rsid w:val="006C2035"/>
    <w:rsid w:val="006C2D8E"/>
    <w:rsid w:val="006C2FF5"/>
    <w:rsid w:val="006C3BE9"/>
    <w:rsid w:val="006C4870"/>
    <w:rsid w:val="006C48BA"/>
    <w:rsid w:val="006C4CE9"/>
    <w:rsid w:val="006C4D14"/>
    <w:rsid w:val="006C6171"/>
    <w:rsid w:val="006C7760"/>
    <w:rsid w:val="006D1705"/>
    <w:rsid w:val="006D1E73"/>
    <w:rsid w:val="006D3BF0"/>
    <w:rsid w:val="006D4860"/>
    <w:rsid w:val="006D4C14"/>
    <w:rsid w:val="006D4CBE"/>
    <w:rsid w:val="006D648E"/>
    <w:rsid w:val="006D690C"/>
    <w:rsid w:val="006D6F89"/>
    <w:rsid w:val="006D7E59"/>
    <w:rsid w:val="006D7EA3"/>
    <w:rsid w:val="006E0144"/>
    <w:rsid w:val="006E0868"/>
    <w:rsid w:val="006E1142"/>
    <w:rsid w:val="006E1C9A"/>
    <w:rsid w:val="006E2CCF"/>
    <w:rsid w:val="006E3234"/>
    <w:rsid w:val="006E48DE"/>
    <w:rsid w:val="006E4C4C"/>
    <w:rsid w:val="006E61CB"/>
    <w:rsid w:val="006E6DF1"/>
    <w:rsid w:val="006E6F6A"/>
    <w:rsid w:val="006E7E39"/>
    <w:rsid w:val="006F162A"/>
    <w:rsid w:val="006F279C"/>
    <w:rsid w:val="006F2DAF"/>
    <w:rsid w:val="006F396A"/>
    <w:rsid w:val="006F39FA"/>
    <w:rsid w:val="006F4A40"/>
    <w:rsid w:val="006F4BCC"/>
    <w:rsid w:val="006F5933"/>
    <w:rsid w:val="006F5BE0"/>
    <w:rsid w:val="006F7B4B"/>
    <w:rsid w:val="006F7EBC"/>
    <w:rsid w:val="00700215"/>
    <w:rsid w:val="00701C0E"/>
    <w:rsid w:val="00702216"/>
    <w:rsid w:val="007029DF"/>
    <w:rsid w:val="00702DC2"/>
    <w:rsid w:val="00703D6C"/>
    <w:rsid w:val="00703E28"/>
    <w:rsid w:val="00704211"/>
    <w:rsid w:val="0070471F"/>
    <w:rsid w:val="00704F5F"/>
    <w:rsid w:val="007051AA"/>
    <w:rsid w:val="00705878"/>
    <w:rsid w:val="00707D67"/>
    <w:rsid w:val="00707F24"/>
    <w:rsid w:val="00710B1E"/>
    <w:rsid w:val="00711C44"/>
    <w:rsid w:val="00711F20"/>
    <w:rsid w:val="00712A0F"/>
    <w:rsid w:val="00713B5E"/>
    <w:rsid w:val="00714328"/>
    <w:rsid w:val="00715CD3"/>
    <w:rsid w:val="0071760F"/>
    <w:rsid w:val="00720775"/>
    <w:rsid w:val="00720A8E"/>
    <w:rsid w:val="007220BF"/>
    <w:rsid w:val="0072278A"/>
    <w:rsid w:val="00722F71"/>
    <w:rsid w:val="00724227"/>
    <w:rsid w:val="00724BD6"/>
    <w:rsid w:val="007265B7"/>
    <w:rsid w:val="0072773C"/>
    <w:rsid w:val="00730DFE"/>
    <w:rsid w:val="007328BA"/>
    <w:rsid w:val="00732E15"/>
    <w:rsid w:val="007332E9"/>
    <w:rsid w:val="007337EB"/>
    <w:rsid w:val="00733AF1"/>
    <w:rsid w:val="00733D08"/>
    <w:rsid w:val="007340A0"/>
    <w:rsid w:val="007346FF"/>
    <w:rsid w:val="00734BE2"/>
    <w:rsid w:val="00735D2F"/>
    <w:rsid w:val="00736A44"/>
    <w:rsid w:val="00737F51"/>
    <w:rsid w:val="00741C06"/>
    <w:rsid w:val="007424EE"/>
    <w:rsid w:val="007438BE"/>
    <w:rsid w:val="00743B3B"/>
    <w:rsid w:val="00743EA9"/>
    <w:rsid w:val="0074563E"/>
    <w:rsid w:val="00746A20"/>
    <w:rsid w:val="0074724C"/>
    <w:rsid w:val="007473B1"/>
    <w:rsid w:val="007509DF"/>
    <w:rsid w:val="00751212"/>
    <w:rsid w:val="00751B1A"/>
    <w:rsid w:val="00754DD0"/>
    <w:rsid w:val="00755553"/>
    <w:rsid w:val="007556F1"/>
    <w:rsid w:val="0075721D"/>
    <w:rsid w:val="00761882"/>
    <w:rsid w:val="00761B31"/>
    <w:rsid w:val="00762B1D"/>
    <w:rsid w:val="00762C31"/>
    <w:rsid w:val="00763C6E"/>
    <w:rsid w:val="007642AE"/>
    <w:rsid w:val="00764544"/>
    <w:rsid w:val="00764BA0"/>
    <w:rsid w:val="007650AC"/>
    <w:rsid w:val="007656DE"/>
    <w:rsid w:val="007668B7"/>
    <w:rsid w:val="007674CE"/>
    <w:rsid w:val="00767823"/>
    <w:rsid w:val="00767C7A"/>
    <w:rsid w:val="00767CCB"/>
    <w:rsid w:val="00767DAD"/>
    <w:rsid w:val="00767DEA"/>
    <w:rsid w:val="00773C88"/>
    <w:rsid w:val="007745E4"/>
    <w:rsid w:val="00775651"/>
    <w:rsid w:val="00776DC2"/>
    <w:rsid w:val="00777E1D"/>
    <w:rsid w:val="007800A5"/>
    <w:rsid w:val="00780324"/>
    <w:rsid w:val="007803E4"/>
    <w:rsid w:val="00780422"/>
    <w:rsid w:val="00781530"/>
    <w:rsid w:val="00782AA7"/>
    <w:rsid w:val="00782E9F"/>
    <w:rsid w:val="007833DF"/>
    <w:rsid w:val="007845F6"/>
    <w:rsid w:val="00784DD3"/>
    <w:rsid w:val="00784F78"/>
    <w:rsid w:val="00784FEF"/>
    <w:rsid w:val="0078517D"/>
    <w:rsid w:val="00786C7E"/>
    <w:rsid w:val="00787F0A"/>
    <w:rsid w:val="0079036B"/>
    <w:rsid w:val="00790529"/>
    <w:rsid w:val="007908FE"/>
    <w:rsid w:val="007909FB"/>
    <w:rsid w:val="00792251"/>
    <w:rsid w:val="00792417"/>
    <w:rsid w:val="0079246D"/>
    <w:rsid w:val="00792649"/>
    <w:rsid w:val="007926D6"/>
    <w:rsid w:val="00793024"/>
    <w:rsid w:val="0079377B"/>
    <w:rsid w:val="0079526D"/>
    <w:rsid w:val="007979FB"/>
    <w:rsid w:val="00797CD8"/>
    <w:rsid w:val="007A09B1"/>
    <w:rsid w:val="007A0AA5"/>
    <w:rsid w:val="007A0D89"/>
    <w:rsid w:val="007A16F7"/>
    <w:rsid w:val="007A17B1"/>
    <w:rsid w:val="007A30A6"/>
    <w:rsid w:val="007A3D30"/>
    <w:rsid w:val="007A432C"/>
    <w:rsid w:val="007A432F"/>
    <w:rsid w:val="007A4E35"/>
    <w:rsid w:val="007A5D0B"/>
    <w:rsid w:val="007A6DFF"/>
    <w:rsid w:val="007A7F73"/>
    <w:rsid w:val="007B07E1"/>
    <w:rsid w:val="007B0B29"/>
    <w:rsid w:val="007B0FDC"/>
    <w:rsid w:val="007B25BA"/>
    <w:rsid w:val="007B33D9"/>
    <w:rsid w:val="007B341A"/>
    <w:rsid w:val="007B37AF"/>
    <w:rsid w:val="007B41B0"/>
    <w:rsid w:val="007B44C7"/>
    <w:rsid w:val="007B56B5"/>
    <w:rsid w:val="007B5D8D"/>
    <w:rsid w:val="007B62B3"/>
    <w:rsid w:val="007B6933"/>
    <w:rsid w:val="007B6BE1"/>
    <w:rsid w:val="007C1181"/>
    <w:rsid w:val="007C1514"/>
    <w:rsid w:val="007C194E"/>
    <w:rsid w:val="007C3E90"/>
    <w:rsid w:val="007C4491"/>
    <w:rsid w:val="007C50C6"/>
    <w:rsid w:val="007C52AF"/>
    <w:rsid w:val="007C5BA8"/>
    <w:rsid w:val="007C5EA9"/>
    <w:rsid w:val="007D005E"/>
    <w:rsid w:val="007D19E1"/>
    <w:rsid w:val="007D2349"/>
    <w:rsid w:val="007D27C6"/>
    <w:rsid w:val="007D2C23"/>
    <w:rsid w:val="007D2DCF"/>
    <w:rsid w:val="007D3A79"/>
    <w:rsid w:val="007D3C50"/>
    <w:rsid w:val="007D431B"/>
    <w:rsid w:val="007D4525"/>
    <w:rsid w:val="007D6958"/>
    <w:rsid w:val="007D6E71"/>
    <w:rsid w:val="007E1661"/>
    <w:rsid w:val="007E20B7"/>
    <w:rsid w:val="007E2771"/>
    <w:rsid w:val="007E32F2"/>
    <w:rsid w:val="007E581D"/>
    <w:rsid w:val="007E72D3"/>
    <w:rsid w:val="007E7360"/>
    <w:rsid w:val="007F148C"/>
    <w:rsid w:val="007F15AF"/>
    <w:rsid w:val="007F18E5"/>
    <w:rsid w:val="007F1D97"/>
    <w:rsid w:val="007F1E9D"/>
    <w:rsid w:val="007F247E"/>
    <w:rsid w:val="007F28C2"/>
    <w:rsid w:val="007F3991"/>
    <w:rsid w:val="007F3EE7"/>
    <w:rsid w:val="007F4349"/>
    <w:rsid w:val="007F4F8E"/>
    <w:rsid w:val="007F6681"/>
    <w:rsid w:val="007F6DCC"/>
    <w:rsid w:val="007F7471"/>
    <w:rsid w:val="008000FB"/>
    <w:rsid w:val="00800715"/>
    <w:rsid w:val="0080089D"/>
    <w:rsid w:val="00800FE1"/>
    <w:rsid w:val="008016A3"/>
    <w:rsid w:val="00802A15"/>
    <w:rsid w:val="008034DF"/>
    <w:rsid w:val="00805452"/>
    <w:rsid w:val="0080588C"/>
    <w:rsid w:val="00805BD9"/>
    <w:rsid w:val="00806ED9"/>
    <w:rsid w:val="008109D3"/>
    <w:rsid w:val="008110A9"/>
    <w:rsid w:val="0081147E"/>
    <w:rsid w:val="00811632"/>
    <w:rsid w:val="008117E8"/>
    <w:rsid w:val="00813B95"/>
    <w:rsid w:val="00813E1B"/>
    <w:rsid w:val="00814B41"/>
    <w:rsid w:val="008162C2"/>
    <w:rsid w:val="00816A13"/>
    <w:rsid w:val="00817655"/>
    <w:rsid w:val="00820013"/>
    <w:rsid w:val="00820034"/>
    <w:rsid w:val="008206CD"/>
    <w:rsid w:val="0082101C"/>
    <w:rsid w:val="0082186B"/>
    <w:rsid w:val="00821FF3"/>
    <w:rsid w:val="0082224F"/>
    <w:rsid w:val="00822532"/>
    <w:rsid w:val="0082406D"/>
    <w:rsid w:val="00824B1F"/>
    <w:rsid w:val="00824D48"/>
    <w:rsid w:val="00825CE9"/>
    <w:rsid w:val="008275E2"/>
    <w:rsid w:val="0083009B"/>
    <w:rsid w:val="00830364"/>
    <w:rsid w:val="00830379"/>
    <w:rsid w:val="0083072B"/>
    <w:rsid w:val="00830EC9"/>
    <w:rsid w:val="00830F6D"/>
    <w:rsid w:val="00831718"/>
    <w:rsid w:val="00832BC5"/>
    <w:rsid w:val="00832C05"/>
    <w:rsid w:val="00832F00"/>
    <w:rsid w:val="00833CE0"/>
    <w:rsid w:val="00834FEA"/>
    <w:rsid w:val="0083500C"/>
    <w:rsid w:val="008359F5"/>
    <w:rsid w:val="0083617A"/>
    <w:rsid w:val="00837D88"/>
    <w:rsid w:val="0084074D"/>
    <w:rsid w:val="00840981"/>
    <w:rsid w:val="00840A3D"/>
    <w:rsid w:val="00840AE2"/>
    <w:rsid w:val="00841168"/>
    <w:rsid w:val="00841851"/>
    <w:rsid w:val="008421B5"/>
    <w:rsid w:val="00842499"/>
    <w:rsid w:val="00843427"/>
    <w:rsid w:val="008438BB"/>
    <w:rsid w:val="00844428"/>
    <w:rsid w:val="0084498F"/>
    <w:rsid w:val="0084665E"/>
    <w:rsid w:val="0085186A"/>
    <w:rsid w:val="00851A24"/>
    <w:rsid w:val="008524F8"/>
    <w:rsid w:val="00853632"/>
    <w:rsid w:val="00853AB4"/>
    <w:rsid w:val="00854370"/>
    <w:rsid w:val="00854662"/>
    <w:rsid w:val="00854FB7"/>
    <w:rsid w:val="0085663C"/>
    <w:rsid w:val="00856C27"/>
    <w:rsid w:val="00857D33"/>
    <w:rsid w:val="008605E6"/>
    <w:rsid w:val="00860ADC"/>
    <w:rsid w:val="008611A3"/>
    <w:rsid w:val="00862D02"/>
    <w:rsid w:val="00862F1A"/>
    <w:rsid w:val="00863396"/>
    <w:rsid w:val="00863B58"/>
    <w:rsid w:val="00863FE6"/>
    <w:rsid w:val="008653C3"/>
    <w:rsid w:val="00870B2D"/>
    <w:rsid w:val="00870EAD"/>
    <w:rsid w:val="00871346"/>
    <w:rsid w:val="0087157D"/>
    <w:rsid w:val="008741DA"/>
    <w:rsid w:val="00875610"/>
    <w:rsid w:val="0087573B"/>
    <w:rsid w:val="008757E1"/>
    <w:rsid w:val="00875A11"/>
    <w:rsid w:val="00875C21"/>
    <w:rsid w:val="0087743C"/>
    <w:rsid w:val="0087764F"/>
    <w:rsid w:val="00877E90"/>
    <w:rsid w:val="00880C01"/>
    <w:rsid w:val="00880C7A"/>
    <w:rsid w:val="00881991"/>
    <w:rsid w:val="00881B86"/>
    <w:rsid w:val="00882A83"/>
    <w:rsid w:val="0088300F"/>
    <w:rsid w:val="008832DA"/>
    <w:rsid w:val="008833E2"/>
    <w:rsid w:val="00883B80"/>
    <w:rsid w:val="0088429D"/>
    <w:rsid w:val="00884920"/>
    <w:rsid w:val="008858CE"/>
    <w:rsid w:val="00885F76"/>
    <w:rsid w:val="00886766"/>
    <w:rsid w:val="00886B04"/>
    <w:rsid w:val="00886E09"/>
    <w:rsid w:val="00890122"/>
    <w:rsid w:val="008904B8"/>
    <w:rsid w:val="008905B3"/>
    <w:rsid w:val="00890C70"/>
    <w:rsid w:val="008931DF"/>
    <w:rsid w:val="00893B0C"/>
    <w:rsid w:val="00893B63"/>
    <w:rsid w:val="00896503"/>
    <w:rsid w:val="008969B9"/>
    <w:rsid w:val="00896EC2"/>
    <w:rsid w:val="00897232"/>
    <w:rsid w:val="008A059E"/>
    <w:rsid w:val="008A0C0F"/>
    <w:rsid w:val="008A1DF2"/>
    <w:rsid w:val="008A3299"/>
    <w:rsid w:val="008A3371"/>
    <w:rsid w:val="008A487C"/>
    <w:rsid w:val="008A61F2"/>
    <w:rsid w:val="008A68CC"/>
    <w:rsid w:val="008A705D"/>
    <w:rsid w:val="008A71BB"/>
    <w:rsid w:val="008A7D76"/>
    <w:rsid w:val="008A7FB7"/>
    <w:rsid w:val="008B0DC2"/>
    <w:rsid w:val="008B12AB"/>
    <w:rsid w:val="008B1722"/>
    <w:rsid w:val="008B498F"/>
    <w:rsid w:val="008B5B04"/>
    <w:rsid w:val="008B601D"/>
    <w:rsid w:val="008B7008"/>
    <w:rsid w:val="008B75F1"/>
    <w:rsid w:val="008C02FC"/>
    <w:rsid w:val="008C0712"/>
    <w:rsid w:val="008C1A96"/>
    <w:rsid w:val="008C28D3"/>
    <w:rsid w:val="008C2B05"/>
    <w:rsid w:val="008C3583"/>
    <w:rsid w:val="008C3DBB"/>
    <w:rsid w:val="008C593F"/>
    <w:rsid w:val="008C5C81"/>
    <w:rsid w:val="008C72F2"/>
    <w:rsid w:val="008C7DDE"/>
    <w:rsid w:val="008D010F"/>
    <w:rsid w:val="008D0144"/>
    <w:rsid w:val="008D045B"/>
    <w:rsid w:val="008D100E"/>
    <w:rsid w:val="008D1D7A"/>
    <w:rsid w:val="008D46F9"/>
    <w:rsid w:val="008D4FBB"/>
    <w:rsid w:val="008D5BA5"/>
    <w:rsid w:val="008D6BF3"/>
    <w:rsid w:val="008E0009"/>
    <w:rsid w:val="008E0B2A"/>
    <w:rsid w:val="008E0B65"/>
    <w:rsid w:val="008E1301"/>
    <w:rsid w:val="008E20BD"/>
    <w:rsid w:val="008E37FF"/>
    <w:rsid w:val="008E519A"/>
    <w:rsid w:val="008E5368"/>
    <w:rsid w:val="008E6390"/>
    <w:rsid w:val="008E65F8"/>
    <w:rsid w:val="008E68A8"/>
    <w:rsid w:val="008E6F53"/>
    <w:rsid w:val="008F1B17"/>
    <w:rsid w:val="008F2036"/>
    <w:rsid w:val="008F2391"/>
    <w:rsid w:val="008F3BA3"/>
    <w:rsid w:val="008F3C0C"/>
    <w:rsid w:val="008F4B60"/>
    <w:rsid w:val="008F5755"/>
    <w:rsid w:val="008F6783"/>
    <w:rsid w:val="008F69D8"/>
    <w:rsid w:val="008F6E6F"/>
    <w:rsid w:val="008F7AB6"/>
    <w:rsid w:val="00900075"/>
    <w:rsid w:val="0090121E"/>
    <w:rsid w:val="00902932"/>
    <w:rsid w:val="0090421B"/>
    <w:rsid w:val="00904D70"/>
    <w:rsid w:val="00905033"/>
    <w:rsid w:val="00905D97"/>
    <w:rsid w:val="009063D8"/>
    <w:rsid w:val="009063DA"/>
    <w:rsid w:val="009070C3"/>
    <w:rsid w:val="00910C5F"/>
    <w:rsid w:val="009123CA"/>
    <w:rsid w:val="00912581"/>
    <w:rsid w:val="00912CD1"/>
    <w:rsid w:val="0091384A"/>
    <w:rsid w:val="0091499A"/>
    <w:rsid w:val="0091511A"/>
    <w:rsid w:val="00915712"/>
    <w:rsid w:val="009158A5"/>
    <w:rsid w:val="00916B75"/>
    <w:rsid w:val="00916FF2"/>
    <w:rsid w:val="009171AA"/>
    <w:rsid w:val="00917BF8"/>
    <w:rsid w:val="00920187"/>
    <w:rsid w:val="00921D1D"/>
    <w:rsid w:val="00923E2A"/>
    <w:rsid w:val="00924486"/>
    <w:rsid w:val="009254E0"/>
    <w:rsid w:val="00925AF0"/>
    <w:rsid w:val="00925D3E"/>
    <w:rsid w:val="009269D2"/>
    <w:rsid w:val="00926E39"/>
    <w:rsid w:val="00926EDE"/>
    <w:rsid w:val="00930A95"/>
    <w:rsid w:val="009313A5"/>
    <w:rsid w:val="00931420"/>
    <w:rsid w:val="00931E31"/>
    <w:rsid w:val="009323A1"/>
    <w:rsid w:val="0093250A"/>
    <w:rsid w:val="00933F95"/>
    <w:rsid w:val="00935AEE"/>
    <w:rsid w:val="00936B62"/>
    <w:rsid w:val="0094019E"/>
    <w:rsid w:val="00940436"/>
    <w:rsid w:val="0094078D"/>
    <w:rsid w:val="00941A05"/>
    <w:rsid w:val="009421BF"/>
    <w:rsid w:val="00942350"/>
    <w:rsid w:val="00943345"/>
    <w:rsid w:val="009439CA"/>
    <w:rsid w:val="00943AAF"/>
    <w:rsid w:val="00945BF3"/>
    <w:rsid w:val="00945EE5"/>
    <w:rsid w:val="00946154"/>
    <w:rsid w:val="0094696E"/>
    <w:rsid w:val="009474D9"/>
    <w:rsid w:val="009478CF"/>
    <w:rsid w:val="00947DC4"/>
    <w:rsid w:val="009506A9"/>
    <w:rsid w:val="00950AAA"/>
    <w:rsid w:val="009515CC"/>
    <w:rsid w:val="00951FD5"/>
    <w:rsid w:val="00952636"/>
    <w:rsid w:val="00952E29"/>
    <w:rsid w:val="00953A18"/>
    <w:rsid w:val="00953A7B"/>
    <w:rsid w:val="00953E85"/>
    <w:rsid w:val="0095433C"/>
    <w:rsid w:val="009547CA"/>
    <w:rsid w:val="00954EC3"/>
    <w:rsid w:val="0095624E"/>
    <w:rsid w:val="009564A6"/>
    <w:rsid w:val="00956C68"/>
    <w:rsid w:val="009571D3"/>
    <w:rsid w:val="0095748B"/>
    <w:rsid w:val="00957B58"/>
    <w:rsid w:val="00957FBF"/>
    <w:rsid w:val="009601EB"/>
    <w:rsid w:val="0096418D"/>
    <w:rsid w:val="009644D2"/>
    <w:rsid w:val="00964764"/>
    <w:rsid w:val="00964FC9"/>
    <w:rsid w:val="009650A6"/>
    <w:rsid w:val="009651C7"/>
    <w:rsid w:val="0096545A"/>
    <w:rsid w:val="00965691"/>
    <w:rsid w:val="009665B5"/>
    <w:rsid w:val="0096685B"/>
    <w:rsid w:val="00967482"/>
    <w:rsid w:val="00970577"/>
    <w:rsid w:val="009707E6"/>
    <w:rsid w:val="00970942"/>
    <w:rsid w:val="00971070"/>
    <w:rsid w:val="00971363"/>
    <w:rsid w:val="00971488"/>
    <w:rsid w:val="00971A7A"/>
    <w:rsid w:val="00972A07"/>
    <w:rsid w:val="0097326B"/>
    <w:rsid w:val="0097372A"/>
    <w:rsid w:val="00974E84"/>
    <w:rsid w:val="00976045"/>
    <w:rsid w:val="0097741B"/>
    <w:rsid w:val="009814F2"/>
    <w:rsid w:val="00982FDB"/>
    <w:rsid w:val="0098436B"/>
    <w:rsid w:val="0098556B"/>
    <w:rsid w:val="00985B8B"/>
    <w:rsid w:val="00987493"/>
    <w:rsid w:val="00987AFD"/>
    <w:rsid w:val="00987D20"/>
    <w:rsid w:val="00990198"/>
    <w:rsid w:val="00990795"/>
    <w:rsid w:val="00990FE9"/>
    <w:rsid w:val="00991342"/>
    <w:rsid w:val="00991501"/>
    <w:rsid w:val="00991573"/>
    <w:rsid w:val="009915E6"/>
    <w:rsid w:val="00991A51"/>
    <w:rsid w:val="009924E1"/>
    <w:rsid w:val="00994199"/>
    <w:rsid w:val="009942F0"/>
    <w:rsid w:val="00996900"/>
    <w:rsid w:val="009A06B9"/>
    <w:rsid w:val="009A13FA"/>
    <w:rsid w:val="009A2714"/>
    <w:rsid w:val="009A30E4"/>
    <w:rsid w:val="009A3673"/>
    <w:rsid w:val="009A3BFC"/>
    <w:rsid w:val="009A4756"/>
    <w:rsid w:val="009A4878"/>
    <w:rsid w:val="009A50E6"/>
    <w:rsid w:val="009A51A8"/>
    <w:rsid w:val="009A54E9"/>
    <w:rsid w:val="009A5B52"/>
    <w:rsid w:val="009A60F4"/>
    <w:rsid w:val="009A70CA"/>
    <w:rsid w:val="009A74B5"/>
    <w:rsid w:val="009A772E"/>
    <w:rsid w:val="009A7CF4"/>
    <w:rsid w:val="009B02D1"/>
    <w:rsid w:val="009B0D47"/>
    <w:rsid w:val="009B12AA"/>
    <w:rsid w:val="009B3014"/>
    <w:rsid w:val="009B344A"/>
    <w:rsid w:val="009B37B6"/>
    <w:rsid w:val="009B5C22"/>
    <w:rsid w:val="009B5C33"/>
    <w:rsid w:val="009B6107"/>
    <w:rsid w:val="009B6E32"/>
    <w:rsid w:val="009C01ED"/>
    <w:rsid w:val="009C077E"/>
    <w:rsid w:val="009C09EF"/>
    <w:rsid w:val="009C0FE3"/>
    <w:rsid w:val="009C15A8"/>
    <w:rsid w:val="009C1E62"/>
    <w:rsid w:val="009C2590"/>
    <w:rsid w:val="009C26A3"/>
    <w:rsid w:val="009C3F3B"/>
    <w:rsid w:val="009C3F42"/>
    <w:rsid w:val="009C4D24"/>
    <w:rsid w:val="009C531E"/>
    <w:rsid w:val="009C62BB"/>
    <w:rsid w:val="009D062C"/>
    <w:rsid w:val="009D0A5E"/>
    <w:rsid w:val="009D0EA6"/>
    <w:rsid w:val="009D1E12"/>
    <w:rsid w:val="009D2889"/>
    <w:rsid w:val="009D2983"/>
    <w:rsid w:val="009D2CE1"/>
    <w:rsid w:val="009D3269"/>
    <w:rsid w:val="009D3681"/>
    <w:rsid w:val="009D3A16"/>
    <w:rsid w:val="009D3CDD"/>
    <w:rsid w:val="009D65ED"/>
    <w:rsid w:val="009D6886"/>
    <w:rsid w:val="009D6AE7"/>
    <w:rsid w:val="009E01BB"/>
    <w:rsid w:val="009E23DB"/>
    <w:rsid w:val="009E2A5B"/>
    <w:rsid w:val="009E2E29"/>
    <w:rsid w:val="009E4252"/>
    <w:rsid w:val="009E4746"/>
    <w:rsid w:val="009E51C9"/>
    <w:rsid w:val="009E51ED"/>
    <w:rsid w:val="009E67BE"/>
    <w:rsid w:val="009E6AA6"/>
    <w:rsid w:val="009E6F25"/>
    <w:rsid w:val="009E79BB"/>
    <w:rsid w:val="009E7D55"/>
    <w:rsid w:val="009F04BE"/>
    <w:rsid w:val="009F0593"/>
    <w:rsid w:val="009F096D"/>
    <w:rsid w:val="009F178F"/>
    <w:rsid w:val="009F1A86"/>
    <w:rsid w:val="009F26C4"/>
    <w:rsid w:val="009F31CB"/>
    <w:rsid w:val="009F546C"/>
    <w:rsid w:val="009F63A5"/>
    <w:rsid w:val="009F669E"/>
    <w:rsid w:val="009F7DCA"/>
    <w:rsid w:val="00A00969"/>
    <w:rsid w:val="00A00EC7"/>
    <w:rsid w:val="00A014E0"/>
    <w:rsid w:val="00A01B7A"/>
    <w:rsid w:val="00A028D1"/>
    <w:rsid w:val="00A02D6F"/>
    <w:rsid w:val="00A03695"/>
    <w:rsid w:val="00A05A2F"/>
    <w:rsid w:val="00A0695F"/>
    <w:rsid w:val="00A075F4"/>
    <w:rsid w:val="00A1039D"/>
    <w:rsid w:val="00A10C7C"/>
    <w:rsid w:val="00A11014"/>
    <w:rsid w:val="00A11763"/>
    <w:rsid w:val="00A118F3"/>
    <w:rsid w:val="00A118F5"/>
    <w:rsid w:val="00A12CFD"/>
    <w:rsid w:val="00A131D6"/>
    <w:rsid w:val="00A13CA5"/>
    <w:rsid w:val="00A14253"/>
    <w:rsid w:val="00A14D53"/>
    <w:rsid w:val="00A176E3"/>
    <w:rsid w:val="00A207EC"/>
    <w:rsid w:val="00A218FA"/>
    <w:rsid w:val="00A222F9"/>
    <w:rsid w:val="00A241D3"/>
    <w:rsid w:val="00A24822"/>
    <w:rsid w:val="00A24F73"/>
    <w:rsid w:val="00A25452"/>
    <w:rsid w:val="00A25D57"/>
    <w:rsid w:val="00A2658E"/>
    <w:rsid w:val="00A26864"/>
    <w:rsid w:val="00A27047"/>
    <w:rsid w:val="00A279DB"/>
    <w:rsid w:val="00A27ADA"/>
    <w:rsid w:val="00A27B9D"/>
    <w:rsid w:val="00A27D47"/>
    <w:rsid w:val="00A27EE8"/>
    <w:rsid w:val="00A31849"/>
    <w:rsid w:val="00A321FB"/>
    <w:rsid w:val="00A3242E"/>
    <w:rsid w:val="00A3262A"/>
    <w:rsid w:val="00A3370F"/>
    <w:rsid w:val="00A33D23"/>
    <w:rsid w:val="00A34104"/>
    <w:rsid w:val="00A347EF"/>
    <w:rsid w:val="00A34C94"/>
    <w:rsid w:val="00A37743"/>
    <w:rsid w:val="00A37CB9"/>
    <w:rsid w:val="00A4039C"/>
    <w:rsid w:val="00A415F9"/>
    <w:rsid w:val="00A41BE3"/>
    <w:rsid w:val="00A42259"/>
    <w:rsid w:val="00A429E4"/>
    <w:rsid w:val="00A43056"/>
    <w:rsid w:val="00A43A0A"/>
    <w:rsid w:val="00A43A43"/>
    <w:rsid w:val="00A43C6C"/>
    <w:rsid w:val="00A449E9"/>
    <w:rsid w:val="00A45A25"/>
    <w:rsid w:val="00A46F82"/>
    <w:rsid w:val="00A50C1B"/>
    <w:rsid w:val="00A51057"/>
    <w:rsid w:val="00A51C4C"/>
    <w:rsid w:val="00A53CBA"/>
    <w:rsid w:val="00A54DDC"/>
    <w:rsid w:val="00A54FB5"/>
    <w:rsid w:val="00A55771"/>
    <w:rsid w:val="00A5728F"/>
    <w:rsid w:val="00A572DB"/>
    <w:rsid w:val="00A576F8"/>
    <w:rsid w:val="00A57A3C"/>
    <w:rsid w:val="00A57F9D"/>
    <w:rsid w:val="00A6044E"/>
    <w:rsid w:val="00A60D76"/>
    <w:rsid w:val="00A623EE"/>
    <w:rsid w:val="00A636A6"/>
    <w:rsid w:val="00A64A6B"/>
    <w:rsid w:val="00A64AE6"/>
    <w:rsid w:val="00A652FB"/>
    <w:rsid w:val="00A65406"/>
    <w:rsid w:val="00A738C2"/>
    <w:rsid w:val="00A746D6"/>
    <w:rsid w:val="00A747CA"/>
    <w:rsid w:val="00A77440"/>
    <w:rsid w:val="00A80550"/>
    <w:rsid w:val="00A806D0"/>
    <w:rsid w:val="00A80CFC"/>
    <w:rsid w:val="00A82591"/>
    <w:rsid w:val="00A829B3"/>
    <w:rsid w:val="00A82FEF"/>
    <w:rsid w:val="00A8326C"/>
    <w:rsid w:val="00A832C3"/>
    <w:rsid w:val="00A834EC"/>
    <w:rsid w:val="00A847CB"/>
    <w:rsid w:val="00A8499B"/>
    <w:rsid w:val="00A849F3"/>
    <w:rsid w:val="00A859C5"/>
    <w:rsid w:val="00A861C6"/>
    <w:rsid w:val="00A868AE"/>
    <w:rsid w:val="00A86C22"/>
    <w:rsid w:val="00A9076E"/>
    <w:rsid w:val="00A90D72"/>
    <w:rsid w:val="00A91D14"/>
    <w:rsid w:val="00A91DCD"/>
    <w:rsid w:val="00A92347"/>
    <w:rsid w:val="00A92655"/>
    <w:rsid w:val="00A928E6"/>
    <w:rsid w:val="00A92B54"/>
    <w:rsid w:val="00A92B71"/>
    <w:rsid w:val="00A92DA3"/>
    <w:rsid w:val="00A93692"/>
    <w:rsid w:val="00A9653E"/>
    <w:rsid w:val="00A96AB4"/>
    <w:rsid w:val="00A96C48"/>
    <w:rsid w:val="00A96DB5"/>
    <w:rsid w:val="00AA01F1"/>
    <w:rsid w:val="00AA0614"/>
    <w:rsid w:val="00AA0799"/>
    <w:rsid w:val="00AA15F1"/>
    <w:rsid w:val="00AA193A"/>
    <w:rsid w:val="00AA1DE1"/>
    <w:rsid w:val="00AA2019"/>
    <w:rsid w:val="00AA2929"/>
    <w:rsid w:val="00AA31B0"/>
    <w:rsid w:val="00AA3962"/>
    <w:rsid w:val="00AA3BFA"/>
    <w:rsid w:val="00AA403F"/>
    <w:rsid w:val="00AA5063"/>
    <w:rsid w:val="00AA5090"/>
    <w:rsid w:val="00AA53A6"/>
    <w:rsid w:val="00AA5D06"/>
    <w:rsid w:val="00AA6563"/>
    <w:rsid w:val="00AA68EB"/>
    <w:rsid w:val="00AA7158"/>
    <w:rsid w:val="00AA755B"/>
    <w:rsid w:val="00AB0108"/>
    <w:rsid w:val="00AB02CE"/>
    <w:rsid w:val="00AB2457"/>
    <w:rsid w:val="00AB315B"/>
    <w:rsid w:val="00AB3AA0"/>
    <w:rsid w:val="00AB4035"/>
    <w:rsid w:val="00AB4258"/>
    <w:rsid w:val="00AB4377"/>
    <w:rsid w:val="00AB43A4"/>
    <w:rsid w:val="00AC12FB"/>
    <w:rsid w:val="00AC241B"/>
    <w:rsid w:val="00AC5A7F"/>
    <w:rsid w:val="00AC6391"/>
    <w:rsid w:val="00AC6922"/>
    <w:rsid w:val="00AC7075"/>
    <w:rsid w:val="00AD1196"/>
    <w:rsid w:val="00AD1410"/>
    <w:rsid w:val="00AD155F"/>
    <w:rsid w:val="00AD1AC7"/>
    <w:rsid w:val="00AD1C44"/>
    <w:rsid w:val="00AD1C65"/>
    <w:rsid w:val="00AD223A"/>
    <w:rsid w:val="00AD4949"/>
    <w:rsid w:val="00AD657B"/>
    <w:rsid w:val="00AD6A98"/>
    <w:rsid w:val="00AD6FE7"/>
    <w:rsid w:val="00AD7B4F"/>
    <w:rsid w:val="00AD7E4C"/>
    <w:rsid w:val="00AE03EA"/>
    <w:rsid w:val="00AE129F"/>
    <w:rsid w:val="00AE162F"/>
    <w:rsid w:val="00AE169A"/>
    <w:rsid w:val="00AE2BED"/>
    <w:rsid w:val="00AE34A3"/>
    <w:rsid w:val="00AE56C6"/>
    <w:rsid w:val="00AE5D0C"/>
    <w:rsid w:val="00AE5E40"/>
    <w:rsid w:val="00AE5E92"/>
    <w:rsid w:val="00AE7691"/>
    <w:rsid w:val="00AF01BB"/>
    <w:rsid w:val="00AF0A74"/>
    <w:rsid w:val="00AF0F00"/>
    <w:rsid w:val="00AF284D"/>
    <w:rsid w:val="00AF4AE8"/>
    <w:rsid w:val="00AF5B8B"/>
    <w:rsid w:val="00B01283"/>
    <w:rsid w:val="00B015C2"/>
    <w:rsid w:val="00B03082"/>
    <w:rsid w:val="00B040AD"/>
    <w:rsid w:val="00B04B7F"/>
    <w:rsid w:val="00B04F5B"/>
    <w:rsid w:val="00B05E4A"/>
    <w:rsid w:val="00B066C4"/>
    <w:rsid w:val="00B06BC1"/>
    <w:rsid w:val="00B0708A"/>
    <w:rsid w:val="00B11DA1"/>
    <w:rsid w:val="00B12DED"/>
    <w:rsid w:val="00B13393"/>
    <w:rsid w:val="00B1511D"/>
    <w:rsid w:val="00B151DA"/>
    <w:rsid w:val="00B16BBA"/>
    <w:rsid w:val="00B17BC0"/>
    <w:rsid w:val="00B17D84"/>
    <w:rsid w:val="00B2079E"/>
    <w:rsid w:val="00B21906"/>
    <w:rsid w:val="00B21F23"/>
    <w:rsid w:val="00B224DE"/>
    <w:rsid w:val="00B22928"/>
    <w:rsid w:val="00B22F52"/>
    <w:rsid w:val="00B233D5"/>
    <w:rsid w:val="00B242F9"/>
    <w:rsid w:val="00B244EB"/>
    <w:rsid w:val="00B24BCE"/>
    <w:rsid w:val="00B24E9B"/>
    <w:rsid w:val="00B2518A"/>
    <w:rsid w:val="00B26BD2"/>
    <w:rsid w:val="00B26FBA"/>
    <w:rsid w:val="00B271F0"/>
    <w:rsid w:val="00B27221"/>
    <w:rsid w:val="00B3020F"/>
    <w:rsid w:val="00B30A28"/>
    <w:rsid w:val="00B3156B"/>
    <w:rsid w:val="00B32186"/>
    <w:rsid w:val="00B3272D"/>
    <w:rsid w:val="00B32F7E"/>
    <w:rsid w:val="00B3360E"/>
    <w:rsid w:val="00B33D93"/>
    <w:rsid w:val="00B341FB"/>
    <w:rsid w:val="00B35622"/>
    <w:rsid w:val="00B3688E"/>
    <w:rsid w:val="00B3690B"/>
    <w:rsid w:val="00B40241"/>
    <w:rsid w:val="00B402E3"/>
    <w:rsid w:val="00B40E58"/>
    <w:rsid w:val="00B41509"/>
    <w:rsid w:val="00B42D01"/>
    <w:rsid w:val="00B42F51"/>
    <w:rsid w:val="00B42FE0"/>
    <w:rsid w:val="00B44A24"/>
    <w:rsid w:val="00B45697"/>
    <w:rsid w:val="00B47B52"/>
    <w:rsid w:val="00B50359"/>
    <w:rsid w:val="00B50619"/>
    <w:rsid w:val="00B51181"/>
    <w:rsid w:val="00B511EB"/>
    <w:rsid w:val="00B517CC"/>
    <w:rsid w:val="00B53C7E"/>
    <w:rsid w:val="00B53C7F"/>
    <w:rsid w:val="00B54CF2"/>
    <w:rsid w:val="00B55BA1"/>
    <w:rsid w:val="00B55D0A"/>
    <w:rsid w:val="00B567F8"/>
    <w:rsid w:val="00B60626"/>
    <w:rsid w:val="00B60673"/>
    <w:rsid w:val="00B6186A"/>
    <w:rsid w:val="00B61EBB"/>
    <w:rsid w:val="00B61F31"/>
    <w:rsid w:val="00B63972"/>
    <w:rsid w:val="00B63C07"/>
    <w:rsid w:val="00B65F38"/>
    <w:rsid w:val="00B6629C"/>
    <w:rsid w:val="00B66672"/>
    <w:rsid w:val="00B6755A"/>
    <w:rsid w:val="00B67E1F"/>
    <w:rsid w:val="00B67EF3"/>
    <w:rsid w:val="00B67F08"/>
    <w:rsid w:val="00B7029D"/>
    <w:rsid w:val="00B70A88"/>
    <w:rsid w:val="00B71528"/>
    <w:rsid w:val="00B71C6B"/>
    <w:rsid w:val="00B71F08"/>
    <w:rsid w:val="00B722C2"/>
    <w:rsid w:val="00B72DCF"/>
    <w:rsid w:val="00B72DEF"/>
    <w:rsid w:val="00B73D2F"/>
    <w:rsid w:val="00B74734"/>
    <w:rsid w:val="00B75B0D"/>
    <w:rsid w:val="00B76B13"/>
    <w:rsid w:val="00B8148B"/>
    <w:rsid w:val="00B814B9"/>
    <w:rsid w:val="00B8241F"/>
    <w:rsid w:val="00B82924"/>
    <w:rsid w:val="00B83A43"/>
    <w:rsid w:val="00B83C32"/>
    <w:rsid w:val="00B847D9"/>
    <w:rsid w:val="00B85BEA"/>
    <w:rsid w:val="00B85C4D"/>
    <w:rsid w:val="00B85D25"/>
    <w:rsid w:val="00B86018"/>
    <w:rsid w:val="00B863EC"/>
    <w:rsid w:val="00B86F30"/>
    <w:rsid w:val="00B87785"/>
    <w:rsid w:val="00B87FA0"/>
    <w:rsid w:val="00B90503"/>
    <w:rsid w:val="00B916AC"/>
    <w:rsid w:val="00B91DAF"/>
    <w:rsid w:val="00B93853"/>
    <w:rsid w:val="00B9597A"/>
    <w:rsid w:val="00B9742D"/>
    <w:rsid w:val="00B979F2"/>
    <w:rsid w:val="00BA20B5"/>
    <w:rsid w:val="00BA28C0"/>
    <w:rsid w:val="00BA2F17"/>
    <w:rsid w:val="00BA3796"/>
    <w:rsid w:val="00BA4129"/>
    <w:rsid w:val="00BA5505"/>
    <w:rsid w:val="00BA5541"/>
    <w:rsid w:val="00BA698E"/>
    <w:rsid w:val="00BA6AA1"/>
    <w:rsid w:val="00BA75F5"/>
    <w:rsid w:val="00BB00C1"/>
    <w:rsid w:val="00BB057F"/>
    <w:rsid w:val="00BB18F2"/>
    <w:rsid w:val="00BB1FD6"/>
    <w:rsid w:val="00BB21E5"/>
    <w:rsid w:val="00BB27AB"/>
    <w:rsid w:val="00BB3C29"/>
    <w:rsid w:val="00BB3E5A"/>
    <w:rsid w:val="00BB429E"/>
    <w:rsid w:val="00BB46F3"/>
    <w:rsid w:val="00BB5781"/>
    <w:rsid w:val="00BB5F6C"/>
    <w:rsid w:val="00BB5FC1"/>
    <w:rsid w:val="00BB62B5"/>
    <w:rsid w:val="00BB656A"/>
    <w:rsid w:val="00BB6598"/>
    <w:rsid w:val="00BB6B7B"/>
    <w:rsid w:val="00BB6BA4"/>
    <w:rsid w:val="00BB7E86"/>
    <w:rsid w:val="00BC07C1"/>
    <w:rsid w:val="00BC2DEB"/>
    <w:rsid w:val="00BC334C"/>
    <w:rsid w:val="00BC3BF1"/>
    <w:rsid w:val="00BC4691"/>
    <w:rsid w:val="00BC47AA"/>
    <w:rsid w:val="00BC4FDE"/>
    <w:rsid w:val="00BC5520"/>
    <w:rsid w:val="00BC6DDC"/>
    <w:rsid w:val="00BC79CF"/>
    <w:rsid w:val="00BC7EB8"/>
    <w:rsid w:val="00BD0806"/>
    <w:rsid w:val="00BD099A"/>
    <w:rsid w:val="00BD0BEF"/>
    <w:rsid w:val="00BD0D4B"/>
    <w:rsid w:val="00BD1781"/>
    <w:rsid w:val="00BD32B0"/>
    <w:rsid w:val="00BD399D"/>
    <w:rsid w:val="00BD4236"/>
    <w:rsid w:val="00BD5089"/>
    <w:rsid w:val="00BD5940"/>
    <w:rsid w:val="00BD5AAC"/>
    <w:rsid w:val="00BD6716"/>
    <w:rsid w:val="00BD6E86"/>
    <w:rsid w:val="00BE11B5"/>
    <w:rsid w:val="00BE12D5"/>
    <w:rsid w:val="00BE16B2"/>
    <w:rsid w:val="00BE16EC"/>
    <w:rsid w:val="00BE1762"/>
    <w:rsid w:val="00BE26D7"/>
    <w:rsid w:val="00BE2BE6"/>
    <w:rsid w:val="00BE3952"/>
    <w:rsid w:val="00BE3A61"/>
    <w:rsid w:val="00BE3E88"/>
    <w:rsid w:val="00BE4674"/>
    <w:rsid w:val="00BE5732"/>
    <w:rsid w:val="00BE61D4"/>
    <w:rsid w:val="00BE6311"/>
    <w:rsid w:val="00BE6342"/>
    <w:rsid w:val="00BE69BC"/>
    <w:rsid w:val="00BE7091"/>
    <w:rsid w:val="00BE742D"/>
    <w:rsid w:val="00BE7EA3"/>
    <w:rsid w:val="00BF09DC"/>
    <w:rsid w:val="00BF0D76"/>
    <w:rsid w:val="00BF1A7F"/>
    <w:rsid w:val="00BF1E1F"/>
    <w:rsid w:val="00BF2A15"/>
    <w:rsid w:val="00BF348B"/>
    <w:rsid w:val="00BF5742"/>
    <w:rsid w:val="00BF6068"/>
    <w:rsid w:val="00BF64CF"/>
    <w:rsid w:val="00BF69D7"/>
    <w:rsid w:val="00C00A7F"/>
    <w:rsid w:val="00C01653"/>
    <w:rsid w:val="00C02F7F"/>
    <w:rsid w:val="00C0381F"/>
    <w:rsid w:val="00C03BC2"/>
    <w:rsid w:val="00C04A85"/>
    <w:rsid w:val="00C0535E"/>
    <w:rsid w:val="00C05547"/>
    <w:rsid w:val="00C05648"/>
    <w:rsid w:val="00C0588E"/>
    <w:rsid w:val="00C0647E"/>
    <w:rsid w:val="00C06BB9"/>
    <w:rsid w:val="00C0763B"/>
    <w:rsid w:val="00C07DF9"/>
    <w:rsid w:val="00C11FE4"/>
    <w:rsid w:val="00C14047"/>
    <w:rsid w:val="00C1496E"/>
    <w:rsid w:val="00C1758C"/>
    <w:rsid w:val="00C17A3E"/>
    <w:rsid w:val="00C201D2"/>
    <w:rsid w:val="00C23A09"/>
    <w:rsid w:val="00C23AFF"/>
    <w:rsid w:val="00C2457C"/>
    <w:rsid w:val="00C249A5"/>
    <w:rsid w:val="00C2536F"/>
    <w:rsid w:val="00C25540"/>
    <w:rsid w:val="00C25F77"/>
    <w:rsid w:val="00C26A3E"/>
    <w:rsid w:val="00C26E48"/>
    <w:rsid w:val="00C2794D"/>
    <w:rsid w:val="00C27E30"/>
    <w:rsid w:val="00C301D3"/>
    <w:rsid w:val="00C3085E"/>
    <w:rsid w:val="00C31B14"/>
    <w:rsid w:val="00C31FBB"/>
    <w:rsid w:val="00C32CD3"/>
    <w:rsid w:val="00C335A3"/>
    <w:rsid w:val="00C33712"/>
    <w:rsid w:val="00C34176"/>
    <w:rsid w:val="00C34E0F"/>
    <w:rsid w:val="00C34F67"/>
    <w:rsid w:val="00C360A3"/>
    <w:rsid w:val="00C360D2"/>
    <w:rsid w:val="00C360E9"/>
    <w:rsid w:val="00C36C35"/>
    <w:rsid w:val="00C37626"/>
    <w:rsid w:val="00C37F32"/>
    <w:rsid w:val="00C404A2"/>
    <w:rsid w:val="00C40E2F"/>
    <w:rsid w:val="00C415BE"/>
    <w:rsid w:val="00C42E07"/>
    <w:rsid w:val="00C432A0"/>
    <w:rsid w:val="00C43A73"/>
    <w:rsid w:val="00C44E64"/>
    <w:rsid w:val="00C4583B"/>
    <w:rsid w:val="00C45E9B"/>
    <w:rsid w:val="00C5047F"/>
    <w:rsid w:val="00C50606"/>
    <w:rsid w:val="00C50C40"/>
    <w:rsid w:val="00C51B88"/>
    <w:rsid w:val="00C51E6B"/>
    <w:rsid w:val="00C52F4A"/>
    <w:rsid w:val="00C531A2"/>
    <w:rsid w:val="00C53EEC"/>
    <w:rsid w:val="00C54831"/>
    <w:rsid w:val="00C54BE9"/>
    <w:rsid w:val="00C54D7F"/>
    <w:rsid w:val="00C55240"/>
    <w:rsid w:val="00C556BF"/>
    <w:rsid w:val="00C55753"/>
    <w:rsid w:val="00C56E99"/>
    <w:rsid w:val="00C571EA"/>
    <w:rsid w:val="00C57481"/>
    <w:rsid w:val="00C576B6"/>
    <w:rsid w:val="00C57AB8"/>
    <w:rsid w:val="00C57F9F"/>
    <w:rsid w:val="00C60138"/>
    <w:rsid w:val="00C606BD"/>
    <w:rsid w:val="00C610F0"/>
    <w:rsid w:val="00C612B5"/>
    <w:rsid w:val="00C6199F"/>
    <w:rsid w:val="00C629F2"/>
    <w:rsid w:val="00C639EA"/>
    <w:rsid w:val="00C64500"/>
    <w:rsid w:val="00C65971"/>
    <w:rsid w:val="00C6772F"/>
    <w:rsid w:val="00C67C26"/>
    <w:rsid w:val="00C704B7"/>
    <w:rsid w:val="00C7059A"/>
    <w:rsid w:val="00C70618"/>
    <w:rsid w:val="00C718C6"/>
    <w:rsid w:val="00C71A4B"/>
    <w:rsid w:val="00C723D3"/>
    <w:rsid w:val="00C72BA9"/>
    <w:rsid w:val="00C73399"/>
    <w:rsid w:val="00C73CB1"/>
    <w:rsid w:val="00C74EE8"/>
    <w:rsid w:val="00C759BD"/>
    <w:rsid w:val="00C75BA0"/>
    <w:rsid w:val="00C75E7A"/>
    <w:rsid w:val="00C75F36"/>
    <w:rsid w:val="00C75FEB"/>
    <w:rsid w:val="00C76473"/>
    <w:rsid w:val="00C76750"/>
    <w:rsid w:val="00C77728"/>
    <w:rsid w:val="00C81DBD"/>
    <w:rsid w:val="00C8236C"/>
    <w:rsid w:val="00C824BD"/>
    <w:rsid w:val="00C82B3B"/>
    <w:rsid w:val="00C82C48"/>
    <w:rsid w:val="00C8313A"/>
    <w:rsid w:val="00C83424"/>
    <w:rsid w:val="00C83655"/>
    <w:rsid w:val="00C84979"/>
    <w:rsid w:val="00C84F6D"/>
    <w:rsid w:val="00C868DA"/>
    <w:rsid w:val="00C86D8D"/>
    <w:rsid w:val="00C878F5"/>
    <w:rsid w:val="00C90757"/>
    <w:rsid w:val="00C90CE7"/>
    <w:rsid w:val="00C90DA7"/>
    <w:rsid w:val="00C90E4E"/>
    <w:rsid w:val="00C91541"/>
    <w:rsid w:val="00C921D6"/>
    <w:rsid w:val="00C92685"/>
    <w:rsid w:val="00C929DB"/>
    <w:rsid w:val="00C92D33"/>
    <w:rsid w:val="00C93C12"/>
    <w:rsid w:val="00C94D3C"/>
    <w:rsid w:val="00C95639"/>
    <w:rsid w:val="00C95C04"/>
    <w:rsid w:val="00C96FFC"/>
    <w:rsid w:val="00C97902"/>
    <w:rsid w:val="00CA002C"/>
    <w:rsid w:val="00CA1722"/>
    <w:rsid w:val="00CA4D45"/>
    <w:rsid w:val="00CA548C"/>
    <w:rsid w:val="00CA6100"/>
    <w:rsid w:val="00CA7130"/>
    <w:rsid w:val="00CA7330"/>
    <w:rsid w:val="00CB0476"/>
    <w:rsid w:val="00CB0521"/>
    <w:rsid w:val="00CB0629"/>
    <w:rsid w:val="00CB1339"/>
    <w:rsid w:val="00CB35AD"/>
    <w:rsid w:val="00CB372B"/>
    <w:rsid w:val="00CB40A7"/>
    <w:rsid w:val="00CB4680"/>
    <w:rsid w:val="00CB4787"/>
    <w:rsid w:val="00CB5CF4"/>
    <w:rsid w:val="00CB7DA6"/>
    <w:rsid w:val="00CB7EC4"/>
    <w:rsid w:val="00CC0357"/>
    <w:rsid w:val="00CC0D43"/>
    <w:rsid w:val="00CC2446"/>
    <w:rsid w:val="00CC2823"/>
    <w:rsid w:val="00CC3945"/>
    <w:rsid w:val="00CC45C0"/>
    <w:rsid w:val="00CC4DF2"/>
    <w:rsid w:val="00CC6894"/>
    <w:rsid w:val="00CD02B4"/>
    <w:rsid w:val="00CD02FA"/>
    <w:rsid w:val="00CD165A"/>
    <w:rsid w:val="00CD1BF9"/>
    <w:rsid w:val="00CD2A04"/>
    <w:rsid w:val="00CD2DF1"/>
    <w:rsid w:val="00CD3514"/>
    <w:rsid w:val="00CD4160"/>
    <w:rsid w:val="00CD573F"/>
    <w:rsid w:val="00CD627A"/>
    <w:rsid w:val="00CD69E6"/>
    <w:rsid w:val="00CD7F05"/>
    <w:rsid w:val="00CE16B7"/>
    <w:rsid w:val="00CE1A1B"/>
    <w:rsid w:val="00CE1D3F"/>
    <w:rsid w:val="00CE20CC"/>
    <w:rsid w:val="00CE2693"/>
    <w:rsid w:val="00CE39CF"/>
    <w:rsid w:val="00CE3AA5"/>
    <w:rsid w:val="00CE4119"/>
    <w:rsid w:val="00CE4D2F"/>
    <w:rsid w:val="00CE567A"/>
    <w:rsid w:val="00CE594A"/>
    <w:rsid w:val="00CE7F87"/>
    <w:rsid w:val="00CF0CE3"/>
    <w:rsid w:val="00CF107D"/>
    <w:rsid w:val="00CF145F"/>
    <w:rsid w:val="00CF1867"/>
    <w:rsid w:val="00CF1B78"/>
    <w:rsid w:val="00CF29D3"/>
    <w:rsid w:val="00CF2A79"/>
    <w:rsid w:val="00CF37F6"/>
    <w:rsid w:val="00CF458B"/>
    <w:rsid w:val="00CF5C1E"/>
    <w:rsid w:val="00CF62ED"/>
    <w:rsid w:val="00CF6933"/>
    <w:rsid w:val="00CF7815"/>
    <w:rsid w:val="00CF78D6"/>
    <w:rsid w:val="00D0020A"/>
    <w:rsid w:val="00D00C25"/>
    <w:rsid w:val="00D012FC"/>
    <w:rsid w:val="00D01BD0"/>
    <w:rsid w:val="00D01D68"/>
    <w:rsid w:val="00D02222"/>
    <w:rsid w:val="00D03856"/>
    <w:rsid w:val="00D04F43"/>
    <w:rsid w:val="00D052D8"/>
    <w:rsid w:val="00D0588F"/>
    <w:rsid w:val="00D061D9"/>
    <w:rsid w:val="00D062E6"/>
    <w:rsid w:val="00D06A77"/>
    <w:rsid w:val="00D06D09"/>
    <w:rsid w:val="00D072BF"/>
    <w:rsid w:val="00D072DC"/>
    <w:rsid w:val="00D073E7"/>
    <w:rsid w:val="00D07677"/>
    <w:rsid w:val="00D0778C"/>
    <w:rsid w:val="00D100D6"/>
    <w:rsid w:val="00D10472"/>
    <w:rsid w:val="00D11D04"/>
    <w:rsid w:val="00D12889"/>
    <w:rsid w:val="00D144EC"/>
    <w:rsid w:val="00D14CC2"/>
    <w:rsid w:val="00D17A67"/>
    <w:rsid w:val="00D20D10"/>
    <w:rsid w:val="00D210D0"/>
    <w:rsid w:val="00D212D4"/>
    <w:rsid w:val="00D212E0"/>
    <w:rsid w:val="00D22C77"/>
    <w:rsid w:val="00D23240"/>
    <w:rsid w:val="00D23753"/>
    <w:rsid w:val="00D23A6D"/>
    <w:rsid w:val="00D2577D"/>
    <w:rsid w:val="00D26DFE"/>
    <w:rsid w:val="00D270B9"/>
    <w:rsid w:val="00D276DF"/>
    <w:rsid w:val="00D30528"/>
    <w:rsid w:val="00D30EBE"/>
    <w:rsid w:val="00D30F54"/>
    <w:rsid w:val="00D31227"/>
    <w:rsid w:val="00D31E16"/>
    <w:rsid w:val="00D31EDA"/>
    <w:rsid w:val="00D32506"/>
    <w:rsid w:val="00D335B6"/>
    <w:rsid w:val="00D34520"/>
    <w:rsid w:val="00D34FE6"/>
    <w:rsid w:val="00D35FF8"/>
    <w:rsid w:val="00D3782F"/>
    <w:rsid w:val="00D40816"/>
    <w:rsid w:val="00D40C13"/>
    <w:rsid w:val="00D40E05"/>
    <w:rsid w:val="00D42B33"/>
    <w:rsid w:val="00D437D9"/>
    <w:rsid w:val="00D44E85"/>
    <w:rsid w:val="00D46376"/>
    <w:rsid w:val="00D46DE1"/>
    <w:rsid w:val="00D47097"/>
    <w:rsid w:val="00D47F91"/>
    <w:rsid w:val="00D50130"/>
    <w:rsid w:val="00D5044C"/>
    <w:rsid w:val="00D50DEA"/>
    <w:rsid w:val="00D52E98"/>
    <w:rsid w:val="00D52F90"/>
    <w:rsid w:val="00D53E56"/>
    <w:rsid w:val="00D5526F"/>
    <w:rsid w:val="00D55D3D"/>
    <w:rsid w:val="00D55D8C"/>
    <w:rsid w:val="00D55FB4"/>
    <w:rsid w:val="00D565D2"/>
    <w:rsid w:val="00D57346"/>
    <w:rsid w:val="00D57CD0"/>
    <w:rsid w:val="00D603C5"/>
    <w:rsid w:val="00D62584"/>
    <w:rsid w:val="00D627DA"/>
    <w:rsid w:val="00D63AE5"/>
    <w:rsid w:val="00D65A5A"/>
    <w:rsid w:val="00D65F18"/>
    <w:rsid w:val="00D663DB"/>
    <w:rsid w:val="00D664E2"/>
    <w:rsid w:val="00D66705"/>
    <w:rsid w:val="00D67757"/>
    <w:rsid w:val="00D6796F"/>
    <w:rsid w:val="00D67D6F"/>
    <w:rsid w:val="00D70BC0"/>
    <w:rsid w:val="00D7278F"/>
    <w:rsid w:val="00D727C9"/>
    <w:rsid w:val="00D72B47"/>
    <w:rsid w:val="00D73E8D"/>
    <w:rsid w:val="00D75352"/>
    <w:rsid w:val="00D7674B"/>
    <w:rsid w:val="00D76802"/>
    <w:rsid w:val="00D76BAD"/>
    <w:rsid w:val="00D76F86"/>
    <w:rsid w:val="00D77279"/>
    <w:rsid w:val="00D77E43"/>
    <w:rsid w:val="00D80F2C"/>
    <w:rsid w:val="00D812D1"/>
    <w:rsid w:val="00D813DD"/>
    <w:rsid w:val="00D813E1"/>
    <w:rsid w:val="00D81407"/>
    <w:rsid w:val="00D82EAA"/>
    <w:rsid w:val="00D83779"/>
    <w:rsid w:val="00D84031"/>
    <w:rsid w:val="00D85E0A"/>
    <w:rsid w:val="00D86882"/>
    <w:rsid w:val="00D87348"/>
    <w:rsid w:val="00D87479"/>
    <w:rsid w:val="00D87F52"/>
    <w:rsid w:val="00D90192"/>
    <w:rsid w:val="00D904D4"/>
    <w:rsid w:val="00D91E9C"/>
    <w:rsid w:val="00D93354"/>
    <w:rsid w:val="00D933D1"/>
    <w:rsid w:val="00D937B2"/>
    <w:rsid w:val="00D93CC4"/>
    <w:rsid w:val="00D93EE0"/>
    <w:rsid w:val="00D93FA7"/>
    <w:rsid w:val="00D94531"/>
    <w:rsid w:val="00D9670E"/>
    <w:rsid w:val="00D969DA"/>
    <w:rsid w:val="00D96DC0"/>
    <w:rsid w:val="00D97801"/>
    <w:rsid w:val="00D97EA7"/>
    <w:rsid w:val="00DA106D"/>
    <w:rsid w:val="00DA2500"/>
    <w:rsid w:val="00DA2671"/>
    <w:rsid w:val="00DA4623"/>
    <w:rsid w:val="00DA470D"/>
    <w:rsid w:val="00DA5600"/>
    <w:rsid w:val="00DA5A8C"/>
    <w:rsid w:val="00DA6063"/>
    <w:rsid w:val="00DA7B21"/>
    <w:rsid w:val="00DA7C8B"/>
    <w:rsid w:val="00DB175C"/>
    <w:rsid w:val="00DB21EC"/>
    <w:rsid w:val="00DB24B0"/>
    <w:rsid w:val="00DB26A1"/>
    <w:rsid w:val="00DB3CDF"/>
    <w:rsid w:val="00DB3D8D"/>
    <w:rsid w:val="00DB4A47"/>
    <w:rsid w:val="00DB5F5B"/>
    <w:rsid w:val="00DB667B"/>
    <w:rsid w:val="00DB7831"/>
    <w:rsid w:val="00DC1D53"/>
    <w:rsid w:val="00DC2201"/>
    <w:rsid w:val="00DC2A69"/>
    <w:rsid w:val="00DC311E"/>
    <w:rsid w:val="00DC3E8E"/>
    <w:rsid w:val="00DC5412"/>
    <w:rsid w:val="00DC5809"/>
    <w:rsid w:val="00DC59D4"/>
    <w:rsid w:val="00DC59D8"/>
    <w:rsid w:val="00DC5D60"/>
    <w:rsid w:val="00DC5E99"/>
    <w:rsid w:val="00DC6693"/>
    <w:rsid w:val="00DC712A"/>
    <w:rsid w:val="00DC7C66"/>
    <w:rsid w:val="00DD0288"/>
    <w:rsid w:val="00DD19F2"/>
    <w:rsid w:val="00DD2904"/>
    <w:rsid w:val="00DD2B1F"/>
    <w:rsid w:val="00DD33B1"/>
    <w:rsid w:val="00DD4D35"/>
    <w:rsid w:val="00DD4E5E"/>
    <w:rsid w:val="00DD5DA4"/>
    <w:rsid w:val="00DD6D2F"/>
    <w:rsid w:val="00DD6DF2"/>
    <w:rsid w:val="00DD6F8C"/>
    <w:rsid w:val="00DD75D9"/>
    <w:rsid w:val="00DD7765"/>
    <w:rsid w:val="00DD7C5B"/>
    <w:rsid w:val="00DE062D"/>
    <w:rsid w:val="00DE0800"/>
    <w:rsid w:val="00DE0DAA"/>
    <w:rsid w:val="00DE128F"/>
    <w:rsid w:val="00DE1CB1"/>
    <w:rsid w:val="00DE2288"/>
    <w:rsid w:val="00DE289E"/>
    <w:rsid w:val="00DE4011"/>
    <w:rsid w:val="00DE4484"/>
    <w:rsid w:val="00DE450A"/>
    <w:rsid w:val="00DE4BDD"/>
    <w:rsid w:val="00DE58EB"/>
    <w:rsid w:val="00DE6DD0"/>
    <w:rsid w:val="00DE70D4"/>
    <w:rsid w:val="00DF061A"/>
    <w:rsid w:val="00DF0CD8"/>
    <w:rsid w:val="00DF166F"/>
    <w:rsid w:val="00DF1790"/>
    <w:rsid w:val="00DF2127"/>
    <w:rsid w:val="00DF2503"/>
    <w:rsid w:val="00DF2835"/>
    <w:rsid w:val="00DF391F"/>
    <w:rsid w:val="00DF4B7C"/>
    <w:rsid w:val="00DF4F8F"/>
    <w:rsid w:val="00DF59EE"/>
    <w:rsid w:val="00DF798B"/>
    <w:rsid w:val="00DF7AC1"/>
    <w:rsid w:val="00DF7C40"/>
    <w:rsid w:val="00E000C6"/>
    <w:rsid w:val="00E00940"/>
    <w:rsid w:val="00E012CD"/>
    <w:rsid w:val="00E025EE"/>
    <w:rsid w:val="00E0339C"/>
    <w:rsid w:val="00E03823"/>
    <w:rsid w:val="00E04132"/>
    <w:rsid w:val="00E0721A"/>
    <w:rsid w:val="00E106E5"/>
    <w:rsid w:val="00E10D8D"/>
    <w:rsid w:val="00E11243"/>
    <w:rsid w:val="00E1155A"/>
    <w:rsid w:val="00E117B3"/>
    <w:rsid w:val="00E11B47"/>
    <w:rsid w:val="00E13BE8"/>
    <w:rsid w:val="00E13F3A"/>
    <w:rsid w:val="00E14BB3"/>
    <w:rsid w:val="00E14C1B"/>
    <w:rsid w:val="00E16C34"/>
    <w:rsid w:val="00E174FB"/>
    <w:rsid w:val="00E176E6"/>
    <w:rsid w:val="00E17FDE"/>
    <w:rsid w:val="00E21602"/>
    <w:rsid w:val="00E23F09"/>
    <w:rsid w:val="00E241A1"/>
    <w:rsid w:val="00E25734"/>
    <w:rsid w:val="00E25791"/>
    <w:rsid w:val="00E260E7"/>
    <w:rsid w:val="00E2694F"/>
    <w:rsid w:val="00E27212"/>
    <w:rsid w:val="00E301B9"/>
    <w:rsid w:val="00E305A5"/>
    <w:rsid w:val="00E33ADC"/>
    <w:rsid w:val="00E33D71"/>
    <w:rsid w:val="00E34EFF"/>
    <w:rsid w:val="00E35624"/>
    <w:rsid w:val="00E3576E"/>
    <w:rsid w:val="00E35EEE"/>
    <w:rsid w:val="00E369A0"/>
    <w:rsid w:val="00E36B51"/>
    <w:rsid w:val="00E374B5"/>
    <w:rsid w:val="00E377E7"/>
    <w:rsid w:val="00E40028"/>
    <w:rsid w:val="00E40952"/>
    <w:rsid w:val="00E41B01"/>
    <w:rsid w:val="00E41DDE"/>
    <w:rsid w:val="00E42CFD"/>
    <w:rsid w:val="00E43271"/>
    <w:rsid w:val="00E438B1"/>
    <w:rsid w:val="00E43BDE"/>
    <w:rsid w:val="00E4494A"/>
    <w:rsid w:val="00E4718D"/>
    <w:rsid w:val="00E47989"/>
    <w:rsid w:val="00E50C25"/>
    <w:rsid w:val="00E51FA3"/>
    <w:rsid w:val="00E54BC5"/>
    <w:rsid w:val="00E55636"/>
    <w:rsid w:val="00E563CC"/>
    <w:rsid w:val="00E566FC"/>
    <w:rsid w:val="00E56FA8"/>
    <w:rsid w:val="00E60EFC"/>
    <w:rsid w:val="00E60F7D"/>
    <w:rsid w:val="00E61C95"/>
    <w:rsid w:val="00E61D16"/>
    <w:rsid w:val="00E62562"/>
    <w:rsid w:val="00E6258E"/>
    <w:rsid w:val="00E62CF6"/>
    <w:rsid w:val="00E62FE6"/>
    <w:rsid w:val="00E63D05"/>
    <w:rsid w:val="00E64CA3"/>
    <w:rsid w:val="00E64E07"/>
    <w:rsid w:val="00E66B4C"/>
    <w:rsid w:val="00E672BF"/>
    <w:rsid w:val="00E674D9"/>
    <w:rsid w:val="00E71634"/>
    <w:rsid w:val="00E72404"/>
    <w:rsid w:val="00E72FE1"/>
    <w:rsid w:val="00E7300B"/>
    <w:rsid w:val="00E75C26"/>
    <w:rsid w:val="00E76708"/>
    <w:rsid w:val="00E76857"/>
    <w:rsid w:val="00E77C48"/>
    <w:rsid w:val="00E80B4C"/>
    <w:rsid w:val="00E81266"/>
    <w:rsid w:val="00E813C1"/>
    <w:rsid w:val="00E81BF1"/>
    <w:rsid w:val="00E81DBB"/>
    <w:rsid w:val="00E81E75"/>
    <w:rsid w:val="00E83C8C"/>
    <w:rsid w:val="00E8436B"/>
    <w:rsid w:val="00E85B3D"/>
    <w:rsid w:val="00E85DEB"/>
    <w:rsid w:val="00E85EBD"/>
    <w:rsid w:val="00E85F0C"/>
    <w:rsid w:val="00E87E73"/>
    <w:rsid w:val="00E9066D"/>
    <w:rsid w:val="00E90817"/>
    <w:rsid w:val="00E90954"/>
    <w:rsid w:val="00E90963"/>
    <w:rsid w:val="00E90B60"/>
    <w:rsid w:val="00E92237"/>
    <w:rsid w:val="00E92371"/>
    <w:rsid w:val="00E93212"/>
    <w:rsid w:val="00E93614"/>
    <w:rsid w:val="00E93B1E"/>
    <w:rsid w:val="00E93BB0"/>
    <w:rsid w:val="00E944EB"/>
    <w:rsid w:val="00E9473F"/>
    <w:rsid w:val="00E94B29"/>
    <w:rsid w:val="00E95428"/>
    <w:rsid w:val="00E95852"/>
    <w:rsid w:val="00E95BBA"/>
    <w:rsid w:val="00E9627C"/>
    <w:rsid w:val="00E964F3"/>
    <w:rsid w:val="00E967A2"/>
    <w:rsid w:val="00E974C8"/>
    <w:rsid w:val="00EA09B2"/>
    <w:rsid w:val="00EA1AF7"/>
    <w:rsid w:val="00EA1FBA"/>
    <w:rsid w:val="00EA2C32"/>
    <w:rsid w:val="00EA3F40"/>
    <w:rsid w:val="00EA444B"/>
    <w:rsid w:val="00EA46EC"/>
    <w:rsid w:val="00EA4857"/>
    <w:rsid w:val="00EA64FA"/>
    <w:rsid w:val="00EA7669"/>
    <w:rsid w:val="00EA7850"/>
    <w:rsid w:val="00EB1D2B"/>
    <w:rsid w:val="00EB2624"/>
    <w:rsid w:val="00EB3065"/>
    <w:rsid w:val="00EB5870"/>
    <w:rsid w:val="00EB5C4D"/>
    <w:rsid w:val="00EB7413"/>
    <w:rsid w:val="00EB77EF"/>
    <w:rsid w:val="00EB7C83"/>
    <w:rsid w:val="00EC0170"/>
    <w:rsid w:val="00EC268E"/>
    <w:rsid w:val="00EC28C9"/>
    <w:rsid w:val="00EC3126"/>
    <w:rsid w:val="00EC3A06"/>
    <w:rsid w:val="00EC4506"/>
    <w:rsid w:val="00EC4B0E"/>
    <w:rsid w:val="00EC50C7"/>
    <w:rsid w:val="00EC53E0"/>
    <w:rsid w:val="00EC7001"/>
    <w:rsid w:val="00EC773C"/>
    <w:rsid w:val="00ED0ADB"/>
    <w:rsid w:val="00ED0F85"/>
    <w:rsid w:val="00ED1270"/>
    <w:rsid w:val="00ED1714"/>
    <w:rsid w:val="00ED1D22"/>
    <w:rsid w:val="00ED4C7E"/>
    <w:rsid w:val="00ED50A4"/>
    <w:rsid w:val="00ED5FB9"/>
    <w:rsid w:val="00ED67D9"/>
    <w:rsid w:val="00ED6FE0"/>
    <w:rsid w:val="00ED78D0"/>
    <w:rsid w:val="00ED7F7C"/>
    <w:rsid w:val="00EE046A"/>
    <w:rsid w:val="00EE0656"/>
    <w:rsid w:val="00EE06B7"/>
    <w:rsid w:val="00EE1C8D"/>
    <w:rsid w:val="00EE24CA"/>
    <w:rsid w:val="00EE2DA9"/>
    <w:rsid w:val="00EE34CC"/>
    <w:rsid w:val="00EE3F61"/>
    <w:rsid w:val="00EE4307"/>
    <w:rsid w:val="00EE4C0C"/>
    <w:rsid w:val="00EE5ACA"/>
    <w:rsid w:val="00EE68B8"/>
    <w:rsid w:val="00EE6C5B"/>
    <w:rsid w:val="00EE6CCA"/>
    <w:rsid w:val="00EE72A8"/>
    <w:rsid w:val="00EE7545"/>
    <w:rsid w:val="00EE7DC6"/>
    <w:rsid w:val="00EF12A0"/>
    <w:rsid w:val="00EF1483"/>
    <w:rsid w:val="00EF17C6"/>
    <w:rsid w:val="00EF1B53"/>
    <w:rsid w:val="00EF1CA8"/>
    <w:rsid w:val="00EF27CA"/>
    <w:rsid w:val="00EF3C2C"/>
    <w:rsid w:val="00EF4B60"/>
    <w:rsid w:val="00EF4F80"/>
    <w:rsid w:val="00EF6490"/>
    <w:rsid w:val="00EF66A6"/>
    <w:rsid w:val="00EF6DAB"/>
    <w:rsid w:val="00EF7397"/>
    <w:rsid w:val="00EF7687"/>
    <w:rsid w:val="00F0011B"/>
    <w:rsid w:val="00F007F7"/>
    <w:rsid w:val="00F00A49"/>
    <w:rsid w:val="00F01C3C"/>
    <w:rsid w:val="00F024C1"/>
    <w:rsid w:val="00F02557"/>
    <w:rsid w:val="00F0349A"/>
    <w:rsid w:val="00F03608"/>
    <w:rsid w:val="00F03EA9"/>
    <w:rsid w:val="00F03EB2"/>
    <w:rsid w:val="00F041D4"/>
    <w:rsid w:val="00F04222"/>
    <w:rsid w:val="00F04250"/>
    <w:rsid w:val="00F047D4"/>
    <w:rsid w:val="00F04973"/>
    <w:rsid w:val="00F04DA4"/>
    <w:rsid w:val="00F05691"/>
    <w:rsid w:val="00F05748"/>
    <w:rsid w:val="00F059CA"/>
    <w:rsid w:val="00F0697C"/>
    <w:rsid w:val="00F102F7"/>
    <w:rsid w:val="00F10C20"/>
    <w:rsid w:val="00F118D1"/>
    <w:rsid w:val="00F11B61"/>
    <w:rsid w:val="00F11DE0"/>
    <w:rsid w:val="00F13439"/>
    <w:rsid w:val="00F14CF8"/>
    <w:rsid w:val="00F1533D"/>
    <w:rsid w:val="00F155CF"/>
    <w:rsid w:val="00F15E56"/>
    <w:rsid w:val="00F1692A"/>
    <w:rsid w:val="00F16D6B"/>
    <w:rsid w:val="00F16E99"/>
    <w:rsid w:val="00F17A10"/>
    <w:rsid w:val="00F21E09"/>
    <w:rsid w:val="00F22524"/>
    <w:rsid w:val="00F24C58"/>
    <w:rsid w:val="00F25066"/>
    <w:rsid w:val="00F250FB"/>
    <w:rsid w:val="00F2573D"/>
    <w:rsid w:val="00F2628A"/>
    <w:rsid w:val="00F26648"/>
    <w:rsid w:val="00F267F3"/>
    <w:rsid w:val="00F31C60"/>
    <w:rsid w:val="00F31CDF"/>
    <w:rsid w:val="00F3226F"/>
    <w:rsid w:val="00F32E21"/>
    <w:rsid w:val="00F333DA"/>
    <w:rsid w:val="00F33BF8"/>
    <w:rsid w:val="00F3475B"/>
    <w:rsid w:val="00F35090"/>
    <w:rsid w:val="00F35CDA"/>
    <w:rsid w:val="00F36286"/>
    <w:rsid w:val="00F36380"/>
    <w:rsid w:val="00F3702E"/>
    <w:rsid w:val="00F3735F"/>
    <w:rsid w:val="00F37B73"/>
    <w:rsid w:val="00F37E47"/>
    <w:rsid w:val="00F401ED"/>
    <w:rsid w:val="00F4035E"/>
    <w:rsid w:val="00F4151A"/>
    <w:rsid w:val="00F41E7C"/>
    <w:rsid w:val="00F422C8"/>
    <w:rsid w:val="00F457C3"/>
    <w:rsid w:val="00F4690F"/>
    <w:rsid w:val="00F46BCB"/>
    <w:rsid w:val="00F46F45"/>
    <w:rsid w:val="00F47DEF"/>
    <w:rsid w:val="00F47EF1"/>
    <w:rsid w:val="00F5068A"/>
    <w:rsid w:val="00F512DC"/>
    <w:rsid w:val="00F51AE5"/>
    <w:rsid w:val="00F52219"/>
    <w:rsid w:val="00F52B5E"/>
    <w:rsid w:val="00F52BDA"/>
    <w:rsid w:val="00F5317E"/>
    <w:rsid w:val="00F54017"/>
    <w:rsid w:val="00F54397"/>
    <w:rsid w:val="00F548D5"/>
    <w:rsid w:val="00F54A5E"/>
    <w:rsid w:val="00F54D01"/>
    <w:rsid w:val="00F563F7"/>
    <w:rsid w:val="00F5717F"/>
    <w:rsid w:val="00F60D24"/>
    <w:rsid w:val="00F60D53"/>
    <w:rsid w:val="00F61545"/>
    <w:rsid w:val="00F61828"/>
    <w:rsid w:val="00F6242A"/>
    <w:rsid w:val="00F6278B"/>
    <w:rsid w:val="00F62E31"/>
    <w:rsid w:val="00F63A16"/>
    <w:rsid w:val="00F643F7"/>
    <w:rsid w:val="00F64AD2"/>
    <w:rsid w:val="00F64EB8"/>
    <w:rsid w:val="00F657B6"/>
    <w:rsid w:val="00F65B7F"/>
    <w:rsid w:val="00F65F7C"/>
    <w:rsid w:val="00F666AA"/>
    <w:rsid w:val="00F666DD"/>
    <w:rsid w:val="00F67AE2"/>
    <w:rsid w:val="00F712F0"/>
    <w:rsid w:val="00F72608"/>
    <w:rsid w:val="00F7314E"/>
    <w:rsid w:val="00F73E10"/>
    <w:rsid w:val="00F76335"/>
    <w:rsid w:val="00F77196"/>
    <w:rsid w:val="00F7742B"/>
    <w:rsid w:val="00F77770"/>
    <w:rsid w:val="00F80880"/>
    <w:rsid w:val="00F808D7"/>
    <w:rsid w:val="00F80FD6"/>
    <w:rsid w:val="00F82EE4"/>
    <w:rsid w:val="00F83884"/>
    <w:rsid w:val="00F839A4"/>
    <w:rsid w:val="00F83C90"/>
    <w:rsid w:val="00F85051"/>
    <w:rsid w:val="00F868BE"/>
    <w:rsid w:val="00F86D3D"/>
    <w:rsid w:val="00F87427"/>
    <w:rsid w:val="00F87E9B"/>
    <w:rsid w:val="00F9244E"/>
    <w:rsid w:val="00F92986"/>
    <w:rsid w:val="00F92B1E"/>
    <w:rsid w:val="00F93ADA"/>
    <w:rsid w:val="00F943A5"/>
    <w:rsid w:val="00F94887"/>
    <w:rsid w:val="00F94E12"/>
    <w:rsid w:val="00F95D9D"/>
    <w:rsid w:val="00F970CC"/>
    <w:rsid w:val="00F974D9"/>
    <w:rsid w:val="00F9751A"/>
    <w:rsid w:val="00F9779C"/>
    <w:rsid w:val="00FA0560"/>
    <w:rsid w:val="00FA1B7B"/>
    <w:rsid w:val="00FA2894"/>
    <w:rsid w:val="00FA291E"/>
    <w:rsid w:val="00FA3D17"/>
    <w:rsid w:val="00FA43A3"/>
    <w:rsid w:val="00FA448F"/>
    <w:rsid w:val="00FA4C33"/>
    <w:rsid w:val="00FA59A4"/>
    <w:rsid w:val="00FA5DBF"/>
    <w:rsid w:val="00FA6819"/>
    <w:rsid w:val="00FB02E5"/>
    <w:rsid w:val="00FB1380"/>
    <w:rsid w:val="00FB3AFD"/>
    <w:rsid w:val="00FB3C76"/>
    <w:rsid w:val="00FB59AD"/>
    <w:rsid w:val="00FB709F"/>
    <w:rsid w:val="00FC077C"/>
    <w:rsid w:val="00FC16AB"/>
    <w:rsid w:val="00FC170D"/>
    <w:rsid w:val="00FC2267"/>
    <w:rsid w:val="00FC24DF"/>
    <w:rsid w:val="00FC3B9A"/>
    <w:rsid w:val="00FC4D50"/>
    <w:rsid w:val="00FC528B"/>
    <w:rsid w:val="00FC69DF"/>
    <w:rsid w:val="00FC6D02"/>
    <w:rsid w:val="00FC6E77"/>
    <w:rsid w:val="00FC7174"/>
    <w:rsid w:val="00FC7464"/>
    <w:rsid w:val="00FC7A87"/>
    <w:rsid w:val="00FC7B11"/>
    <w:rsid w:val="00FD0188"/>
    <w:rsid w:val="00FD063C"/>
    <w:rsid w:val="00FD0683"/>
    <w:rsid w:val="00FD0931"/>
    <w:rsid w:val="00FD1D15"/>
    <w:rsid w:val="00FD208C"/>
    <w:rsid w:val="00FD2C28"/>
    <w:rsid w:val="00FD2C81"/>
    <w:rsid w:val="00FD35A8"/>
    <w:rsid w:val="00FD4B71"/>
    <w:rsid w:val="00FD63A6"/>
    <w:rsid w:val="00FD78E9"/>
    <w:rsid w:val="00FE140A"/>
    <w:rsid w:val="00FE1BA6"/>
    <w:rsid w:val="00FE2506"/>
    <w:rsid w:val="00FE253C"/>
    <w:rsid w:val="00FE336D"/>
    <w:rsid w:val="00FE389F"/>
    <w:rsid w:val="00FE3B4D"/>
    <w:rsid w:val="00FE3DD1"/>
    <w:rsid w:val="00FE50BB"/>
    <w:rsid w:val="00FE523B"/>
    <w:rsid w:val="00FE5544"/>
    <w:rsid w:val="00FE5BFD"/>
    <w:rsid w:val="00FE6282"/>
    <w:rsid w:val="00FE64E6"/>
    <w:rsid w:val="00FE691D"/>
    <w:rsid w:val="00FE6B45"/>
    <w:rsid w:val="00FE725A"/>
    <w:rsid w:val="00FE7280"/>
    <w:rsid w:val="00FE7490"/>
    <w:rsid w:val="00FE7B52"/>
    <w:rsid w:val="00FF0D72"/>
    <w:rsid w:val="00FF2759"/>
    <w:rsid w:val="00FF410A"/>
    <w:rsid w:val="00FF45A8"/>
    <w:rsid w:val="00FF47C6"/>
    <w:rsid w:val="00FF4987"/>
    <w:rsid w:val="00FF4EFA"/>
    <w:rsid w:val="00FF5C5C"/>
    <w:rsid w:val="00FF5D38"/>
    <w:rsid w:val="00FF6A6A"/>
    <w:rsid w:val="00FF7B8B"/>
    <w:rsid w:val="00FF7C90"/>
    <w:rsid w:val="00FF7D46"/>
    <w:rsid w:val="0A1745F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6273BD"/>
  <w15:docId w15:val="{F4F0DD7F-8335-4802-972F-A0519127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Emphasis" w:uiPriority="20"/>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
    <w:qFormat/>
    <w:rsid w:val="00004CE5"/>
    <w:pPr>
      <w:spacing w:after="160" w:line="256" w:lineRule="auto"/>
      <w:jc w:val="both"/>
    </w:pPr>
    <w:rPr>
      <w:rFonts w:ascii="Gill Sans MT" w:hAnsi="Gill Sans MT"/>
      <w:sz w:val="22"/>
    </w:rPr>
  </w:style>
  <w:style w:type="paragraph" w:styleId="Heading1">
    <w:name w:val="heading 1"/>
    <w:basedOn w:val="Heading2"/>
    <w:next w:val="Normal"/>
    <w:link w:val="Heading1Char"/>
    <w:uiPriority w:val="9"/>
    <w:qFormat/>
    <w:rsid w:val="00DE2288"/>
    <w:pPr>
      <w:numPr>
        <w:ilvl w:val="0"/>
      </w:numPr>
      <w:ind w:left="360" w:hanging="360"/>
      <w:outlineLvl w:val="0"/>
    </w:pPr>
    <w:rPr>
      <w:caps/>
      <w:sz w:val="28"/>
      <w:szCs w:val="28"/>
    </w:rPr>
  </w:style>
  <w:style w:type="paragraph" w:styleId="Heading2">
    <w:name w:val="heading 2"/>
    <w:basedOn w:val="Normal"/>
    <w:next w:val="Normal"/>
    <w:link w:val="Heading2Char"/>
    <w:autoRedefine/>
    <w:uiPriority w:val="9"/>
    <w:unhideWhenUsed/>
    <w:qFormat/>
    <w:rsid w:val="00BE3952"/>
    <w:pPr>
      <w:numPr>
        <w:ilvl w:val="1"/>
        <w:numId w:val="9"/>
      </w:numPr>
      <w:spacing w:before="80" w:line="257" w:lineRule="auto"/>
      <w:ind w:left="446" w:hanging="446"/>
      <w:outlineLvl w:val="1"/>
    </w:pPr>
    <w:rPr>
      <w:rFonts w:ascii="Gill Sans MT Bold" w:eastAsiaTheme="majorEastAsia" w:hAnsi="Gill Sans MT Bold"/>
      <w:b/>
      <w:bCs/>
      <w:iCs/>
      <w:sz w:val="24"/>
      <w:szCs w:val="24"/>
    </w:rPr>
  </w:style>
  <w:style w:type="paragraph" w:styleId="Heading3">
    <w:name w:val="heading 3"/>
    <w:basedOn w:val="Heading2"/>
    <w:next w:val="Normal"/>
    <w:link w:val="Heading3Char"/>
    <w:autoRedefine/>
    <w:uiPriority w:val="9"/>
    <w:unhideWhenUsed/>
    <w:qFormat/>
    <w:rsid w:val="00336B71"/>
    <w:pPr>
      <w:numPr>
        <w:ilvl w:val="2"/>
      </w:numPr>
      <w:ind w:left="-90" w:firstLine="90"/>
      <w:outlineLvl w:val="2"/>
    </w:pPr>
    <w:rPr>
      <w:rFonts w:ascii="Gill Sans MT" w:hAnsi="Gill Sans MT"/>
      <w:sz w:val="22"/>
      <w:szCs w:val="22"/>
    </w:rPr>
  </w:style>
  <w:style w:type="paragraph" w:styleId="Heading4">
    <w:name w:val="heading 4"/>
    <w:basedOn w:val="Normal"/>
    <w:next w:val="Normal"/>
    <w:link w:val="Heading4Char"/>
    <w:uiPriority w:val="9"/>
    <w:unhideWhenUsed/>
    <w:qFormat/>
    <w:rsid w:val="00004CE5"/>
    <w:pPr>
      <w:keepNext/>
      <w:keepLines/>
      <w:numPr>
        <w:ilvl w:val="3"/>
        <w:numId w:val="9"/>
      </w:numPr>
      <w:tabs>
        <w:tab w:val="left" w:pos="1440"/>
      </w:tabs>
      <w:spacing w:before="240" w:after="240"/>
      <w:ind w:left="90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9F732A"/>
    <w:pPr>
      <w:keepNext/>
      <w:keepLines/>
      <w:numPr>
        <w:ilvl w:val="4"/>
        <w:numId w:val="9"/>
      </w:numPr>
      <w:tabs>
        <w:tab w:val="left" w:pos="1440"/>
      </w:tabs>
      <w:spacing w:before="240" w:after="240"/>
      <w:outlineLvl w:val="4"/>
    </w:pPr>
    <w:rPr>
      <w:rFonts w:eastAsiaTheme="majorEastAsia" w:cstheme="majorBidi"/>
      <w:b/>
    </w:rPr>
  </w:style>
  <w:style w:type="paragraph" w:styleId="Heading6">
    <w:name w:val="heading 6"/>
    <w:basedOn w:val="Normal"/>
    <w:next w:val="Normal"/>
    <w:link w:val="Heading6Char"/>
    <w:uiPriority w:val="9"/>
    <w:unhideWhenUsed/>
    <w:qFormat/>
    <w:rsid w:val="009F732A"/>
    <w:pPr>
      <w:keepNext/>
      <w:keepLines/>
      <w:numPr>
        <w:ilvl w:val="5"/>
        <w:numId w:val="9"/>
      </w:numPr>
      <w:tabs>
        <w:tab w:val="left" w:pos="1008"/>
      </w:tabs>
      <w:spacing w:before="200"/>
      <w:outlineLvl w:val="5"/>
    </w:pPr>
    <w:rPr>
      <w:rFonts w:ascii="Calibri" w:eastAsiaTheme="majorEastAsia" w:hAnsi="Calibri" w:cstheme="majorBidi"/>
      <w:b/>
      <w:iCs/>
    </w:rPr>
  </w:style>
  <w:style w:type="paragraph" w:styleId="Heading7">
    <w:name w:val="heading 7"/>
    <w:basedOn w:val="Normal"/>
    <w:next w:val="Normal"/>
    <w:link w:val="Heading7Char"/>
    <w:uiPriority w:val="9"/>
    <w:unhideWhenUsed/>
    <w:qFormat/>
    <w:rsid w:val="009F732A"/>
    <w:pPr>
      <w:keepNext/>
      <w:keepLines/>
      <w:numPr>
        <w:ilvl w:val="6"/>
        <w:numId w:val="9"/>
      </w:numPr>
      <w:spacing w:before="240" w:after="240"/>
      <w:outlineLvl w:val="6"/>
    </w:pPr>
    <w:rPr>
      <w:rFonts w:ascii="Calibri" w:eastAsiaTheme="majorEastAsia" w:hAnsi="Calibri" w:cstheme="majorBidi"/>
      <w:b/>
      <w:iCs/>
    </w:rPr>
  </w:style>
  <w:style w:type="paragraph" w:styleId="Heading8">
    <w:name w:val="heading 8"/>
    <w:basedOn w:val="Normal"/>
    <w:next w:val="Normal"/>
    <w:link w:val="Heading8Char"/>
    <w:uiPriority w:val="9"/>
    <w:unhideWhenUsed/>
    <w:qFormat/>
    <w:rsid w:val="009F732A"/>
    <w:pPr>
      <w:keepNext/>
      <w:keepLines/>
      <w:numPr>
        <w:ilvl w:val="7"/>
        <w:numId w:val="9"/>
      </w:numPr>
      <w:tabs>
        <w:tab w:val="left" w:pos="1440"/>
      </w:tabs>
      <w:spacing w:before="200"/>
      <w:outlineLvl w:val="7"/>
    </w:pPr>
    <w:rPr>
      <w:rFonts w:ascii="Calibri" w:eastAsiaTheme="majorEastAsia" w:hAnsi="Calibri" w:cstheme="majorBidi"/>
      <w:b/>
      <w:szCs w:val="20"/>
    </w:rPr>
  </w:style>
  <w:style w:type="paragraph" w:styleId="Heading9">
    <w:name w:val="heading 9"/>
    <w:basedOn w:val="Normal"/>
    <w:next w:val="Normal"/>
    <w:link w:val="Heading9Char"/>
    <w:uiPriority w:val="9"/>
    <w:unhideWhenUsed/>
    <w:qFormat/>
    <w:rsid w:val="009F732A"/>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uiPriority w:val="99"/>
    <w:semiHidden/>
    <w:qFormat/>
    <w:rsid w:val="00D66AAA"/>
    <w:rPr>
      <w:rFonts w:ascii="Lucida Grande" w:hAnsi="Lucida Grande"/>
      <w:sz w:val="18"/>
      <w:szCs w:val="18"/>
    </w:rPr>
  </w:style>
  <w:style w:type="character" w:customStyle="1" w:styleId="Heading1Char">
    <w:name w:val="Heading 1 Char"/>
    <w:basedOn w:val="DefaultParagraphFont"/>
    <w:link w:val="Heading1"/>
    <w:uiPriority w:val="9"/>
    <w:qFormat/>
    <w:rsid w:val="00DE2288"/>
    <w:rPr>
      <w:rFonts w:ascii="Gill Sans MT Bold" w:eastAsiaTheme="majorEastAsia" w:hAnsi="Gill Sans MT Bold"/>
      <w:b/>
      <w:bCs/>
      <w:iCs/>
      <w:caps/>
      <w:sz w:val="28"/>
      <w:szCs w:val="28"/>
    </w:rPr>
  </w:style>
  <w:style w:type="character" w:customStyle="1" w:styleId="Heading2Char">
    <w:name w:val="Heading 2 Char"/>
    <w:basedOn w:val="DefaultParagraphFont"/>
    <w:link w:val="Heading2"/>
    <w:uiPriority w:val="9"/>
    <w:qFormat/>
    <w:rsid w:val="00BE3952"/>
    <w:rPr>
      <w:rFonts w:ascii="Gill Sans MT Bold" w:eastAsiaTheme="majorEastAsia" w:hAnsi="Gill Sans MT Bold"/>
      <w:b/>
      <w:bCs/>
      <w:iCs/>
      <w:sz w:val="24"/>
      <w:szCs w:val="24"/>
    </w:rPr>
  </w:style>
  <w:style w:type="character" w:customStyle="1" w:styleId="Heading3Char">
    <w:name w:val="Heading 3 Char"/>
    <w:basedOn w:val="DefaultParagraphFont"/>
    <w:link w:val="Heading3"/>
    <w:uiPriority w:val="9"/>
    <w:qFormat/>
    <w:rsid w:val="00336B71"/>
    <w:rPr>
      <w:rFonts w:ascii="Gill Sans MT" w:eastAsiaTheme="majorEastAsia" w:hAnsi="Gill Sans MT"/>
      <w:b/>
      <w:bCs/>
      <w:iCs/>
      <w:sz w:val="22"/>
    </w:rPr>
  </w:style>
  <w:style w:type="character" w:customStyle="1" w:styleId="Heading4Char">
    <w:name w:val="Heading 4 Char"/>
    <w:basedOn w:val="DefaultParagraphFont"/>
    <w:link w:val="Heading4"/>
    <w:uiPriority w:val="9"/>
    <w:qFormat/>
    <w:rsid w:val="00004CE5"/>
    <w:rPr>
      <w:rFonts w:ascii="Gill Sans MT" w:eastAsiaTheme="majorEastAsia" w:hAnsi="Gill Sans MT" w:cstheme="majorBidi"/>
      <w:bCs/>
      <w:i/>
      <w:iCs/>
      <w:sz w:val="22"/>
    </w:rPr>
  </w:style>
  <w:style w:type="character" w:customStyle="1" w:styleId="Heading5Char">
    <w:name w:val="Heading 5 Char"/>
    <w:basedOn w:val="DefaultParagraphFont"/>
    <w:link w:val="Heading5"/>
    <w:uiPriority w:val="9"/>
    <w:qFormat/>
    <w:rsid w:val="009F732A"/>
    <w:rPr>
      <w:rFonts w:eastAsiaTheme="majorEastAsia" w:cstheme="majorBidi"/>
      <w:b/>
      <w:sz w:val="22"/>
    </w:rPr>
  </w:style>
  <w:style w:type="character" w:customStyle="1" w:styleId="Heading6Char">
    <w:name w:val="Heading 6 Char"/>
    <w:basedOn w:val="DefaultParagraphFont"/>
    <w:link w:val="Heading6"/>
    <w:uiPriority w:val="9"/>
    <w:qFormat/>
    <w:rsid w:val="009F732A"/>
    <w:rPr>
      <w:rFonts w:ascii="Calibri" w:eastAsiaTheme="majorEastAsia" w:hAnsi="Calibri" w:cstheme="majorBidi"/>
      <w:b/>
      <w:iCs/>
      <w:sz w:val="22"/>
    </w:rPr>
  </w:style>
  <w:style w:type="character" w:customStyle="1" w:styleId="Heading7Char">
    <w:name w:val="Heading 7 Char"/>
    <w:basedOn w:val="DefaultParagraphFont"/>
    <w:link w:val="Heading7"/>
    <w:uiPriority w:val="9"/>
    <w:qFormat/>
    <w:rsid w:val="009F732A"/>
    <w:rPr>
      <w:rFonts w:ascii="Calibri" w:eastAsiaTheme="majorEastAsia" w:hAnsi="Calibri" w:cstheme="majorBidi"/>
      <w:b/>
      <w:iCs/>
      <w:sz w:val="22"/>
    </w:rPr>
  </w:style>
  <w:style w:type="character" w:customStyle="1" w:styleId="Heading8Char">
    <w:name w:val="Heading 8 Char"/>
    <w:basedOn w:val="DefaultParagraphFont"/>
    <w:link w:val="Heading8"/>
    <w:uiPriority w:val="9"/>
    <w:qFormat/>
    <w:rsid w:val="009F732A"/>
    <w:rPr>
      <w:rFonts w:ascii="Calibri" w:eastAsiaTheme="majorEastAsia" w:hAnsi="Calibri" w:cstheme="majorBidi"/>
      <w:b/>
      <w:sz w:val="22"/>
      <w:szCs w:val="20"/>
    </w:rPr>
  </w:style>
  <w:style w:type="character" w:customStyle="1" w:styleId="Heading9Char">
    <w:name w:val="Heading 9 Char"/>
    <w:basedOn w:val="DefaultParagraphFont"/>
    <w:link w:val="Heading9"/>
    <w:uiPriority w:val="9"/>
    <w:qFormat/>
    <w:rsid w:val="009F732A"/>
    <w:rPr>
      <w:rFonts w:asciiTheme="majorHAnsi" w:eastAsiaTheme="majorEastAsia" w:hAnsiTheme="majorHAnsi" w:cstheme="majorBidi"/>
      <w:i/>
      <w:iCs/>
      <w:color w:val="404040" w:themeColor="text1" w:themeTint="BF"/>
      <w:szCs w:val="20"/>
    </w:rPr>
  </w:style>
  <w:style w:type="character" w:customStyle="1" w:styleId="HeaderChar">
    <w:name w:val="Header Char"/>
    <w:basedOn w:val="DefaultParagraphFont"/>
    <w:link w:val="Header"/>
    <w:uiPriority w:val="99"/>
    <w:qFormat/>
    <w:rsid w:val="00356558"/>
  </w:style>
  <w:style w:type="character" w:customStyle="1" w:styleId="FooterChar">
    <w:name w:val="Footer Char"/>
    <w:basedOn w:val="DefaultParagraphFont"/>
    <w:link w:val="Footer"/>
    <w:uiPriority w:val="99"/>
    <w:qFormat/>
    <w:rsid w:val="00356558"/>
  </w:style>
  <w:style w:type="character" w:customStyle="1" w:styleId="BalloonTextChar1">
    <w:name w:val="Balloon Text Char1"/>
    <w:basedOn w:val="DefaultParagraphFont"/>
    <w:link w:val="BalloonText"/>
    <w:uiPriority w:val="99"/>
    <w:semiHidden/>
    <w:qFormat/>
    <w:rsid w:val="00356558"/>
    <w:rPr>
      <w:rFonts w:ascii="Tahoma" w:hAnsi="Tahoma" w:cs="Tahoma"/>
      <w:sz w:val="16"/>
      <w:szCs w:val="16"/>
    </w:rPr>
  </w:style>
  <w:style w:type="character" w:customStyle="1" w:styleId="CommentTextChar">
    <w:name w:val="Comment Text Char"/>
    <w:basedOn w:val="DefaultParagraphFont"/>
    <w:link w:val="CommentText"/>
    <w:uiPriority w:val="99"/>
    <w:semiHidden/>
    <w:qFormat/>
    <w:rsid w:val="008C7ADD"/>
    <w:rPr>
      <w:rFonts w:ascii="Times New Roman" w:eastAsia="Times New Roman" w:hAnsi="Times New Roman" w:cs="Times New Roman"/>
      <w:sz w:val="24"/>
      <w:szCs w:val="20"/>
    </w:rPr>
  </w:style>
  <w:style w:type="character" w:customStyle="1" w:styleId="InternetLink">
    <w:name w:val="Internet Link"/>
    <w:basedOn w:val="DefaultParagraphFont"/>
    <w:uiPriority w:val="99"/>
    <w:unhideWhenUsed/>
    <w:rsid w:val="00656B92"/>
    <w:rPr>
      <w:color w:val="0000FF" w:themeColor="hyperlink"/>
      <w:u w:val="single"/>
    </w:rPr>
  </w:style>
  <w:style w:type="character" w:styleId="CommentReference">
    <w:name w:val="annotation reference"/>
    <w:basedOn w:val="DefaultParagraphFont"/>
    <w:uiPriority w:val="99"/>
    <w:qFormat/>
    <w:rsid w:val="00EB129F"/>
    <w:rPr>
      <w:sz w:val="18"/>
      <w:szCs w:val="18"/>
    </w:rPr>
  </w:style>
  <w:style w:type="character" w:customStyle="1" w:styleId="CommentSubjectChar">
    <w:name w:val="Comment Subject Char"/>
    <w:basedOn w:val="CommentTextChar"/>
    <w:link w:val="CommentSubject"/>
    <w:qFormat/>
    <w:rsid w:val="00EB129F"/>
    <w:rPr>
      <w:rFonts w:ascii="Times New Roman" w:eastAsia="Times New Roman" w:hAnsi="Times New Roman" w:cs="Times New Roman"/>
      <w:b/>
      <w:bCs/>
      <w:sz w:val="20"/>
      <w:szCs w:val="20"/>
    </w:rPr>
  </w:style>
  <w:style w:type="character" w:styleId="PageNumber">
    <w:name w:val="page number"/>
    <w:basedOn w:val="DefaultParagraphFont"/>
    <w:qFormat/>
    <w:rsid w:val="00673370"/>
  </w:style>
  <w:style w:type="character" w:customStyle="1" w:styleId="PlainTextChar">
    <w:name w:val="Plain Text Char"/>
    <w:basedOn w:val="DefaultParagraphFont"/>
    <w:link w:val="PlainText"/>
    <w:uiPriority w:val="99"/>
    <w:qFormat/>
    <w:rsid w:val="006B0697"/>
    <w:rPr>
      <w:rFonts w:ascii="Gill Sans MT" w:hAnsi="Gill Sans MT" w:cs="Arial"/>
      <w:color w:val="00000A"/>
      <w:sz w:val="22"/>
      <w:szCs w:val="21"/>
    </w:rPr>
  </w:style>
  <w:style w:type="character" w:customStyle="1" w:styleId="ListLabel1">
    <w:name w:val="ListLabel 1"/>
    <w:qFormat/>
    <w:rsid w:val="007A7F73"/>
    <w:rPr>
      <w:sz w:val="28"/>
      <w:szCs w:val="28"/>
    </w:rPr>
  </w:style>
  <w:style w:type="character" w:customStyle="1" w:styleId="ListLabel2">
    <w:name w:val="ListLabel 2"/>
    <w:rPr>
      <w:color w:val="00000A"/>
    </w:rPr>
  </w:style>
  <w:style w:type="character" w:customStyle="1" w:styleId="ListLabel3">
    <w:name w:val="ListLabel 3"/>
    <w:rPr>
      <w:b/>
      <w:i w:val="0"/>
      <w:caps/>
      <w:sz w:val="22"/>
    </w:rPr>
  </w:style>
  <w:style w:type="character" w:customStyle="1" w:styleId="ListLabel4">
    <w:name w:val="ListLabel 4"/>
    <w:rPr>
      <w:b w:val="0"/>
      <w:i/>
    </w:rPr>
  </w:style>
  <w:style w:type="character" w:customStyle="1" w:styleId="ListLabel5">
    <w:name w:val="ListLabel 5"/>
    <w:rPr>
      <w:color w:val="00000A"/>
    </w:rPr>
  </w:style>
  <w:style w:type="character" w:customStyle="1" w:styleId="ListLabel6">
    <w:name w:val="ListLabel 6"/>
    <w:rPr>
      <w:b w:val="0"/>
      <w:i/>
    </w:rPr>
  </w:style>
  <w:style w:type="character" w:customStyle="1" w:styleId="ListLabel7">
    <w:name w:val="ListLabel 7"/>
    <w:rPr>
      <w:b/>
      <w:i w:val="0"/>
      <w:caps/>
      <w:sz w:val="22"/>
    </w:rPr>
  </w:style>
  <w:style w:type="character" w:customStyle="1" w:styleId="ListLabel8">
    <w:name w:val="ListLabel 8"/>
    <w:rPr>
      <w:b w:val="0"/>
      <w:i/>
    </w:rPr>
  </w:style>
  <w:style w:type="character" w:customStyle="1" w:styleId="ListLabel9">
    <w:name w:val="ListLabel 9"/>
    <w:rPr>
      <w:color w:val="00000A"/>
    </w:rPr>
  </w:style>
  <w:style w:type="character" w:customStyle="1" w:styleId="ListLabel10">
    <w:name w:val="ListLabel 10"/>
    <w:rPr>
      <w:b/>
      <w:i w:val="0"/>
      <w:caps/>
      <w:sz w:val="22"/>
    </w:rPr>
  </w:style>
  <w:style w:type="character" w:customStyle="1" w:styleId="ListLabel11">
    <w:name w:val="ListLabel 11"/>
    <w:rPr>
      <w:color w:val="00000A"/>
    </w:rPr>
  </w:style>
  <w:style w:type="character" w:customStyle="1" w:styleId="ListLabel12">
    <w:name w:val="ListLabel 12"/>
    <w:rPr>
      <w:b/>
      <w:i w:val="0"/>
      <w:caps/>
      <w:sz w:val="22"/>
    </w:rPr>
  </w:style>
  <w:style w:type="character" w:customStyle="1" w:styleId="ListLabel13">
    <w:name w:val="ListLabel 13"/>
    <w:rPr>
      <w:color w:val="00000A"/>
    </w:rPr>
  </w:style>
  <w:style w:type="character" w:customStyle="1" w:styleId="ListLabel14">
    <w:name w:val="ListLabel 14"/>
    <w:rPr>
      <w:b/>
      <w:i w:val="0"/>
      <w:caps/>
      <w:sz w:val="22"/>
    </w:rPr>
  </w:style>
  <w:style w:type="character" w:customStyle="1" w:styleId="ListLabel15">
    <w:name w:val="ListLabel 15"/>
    <w:rPr>
      <w:color w:val="00000A"/>
    </w:rPr>
  </w:style>
  <w:style w:type="character" w:customStyle="1" w:styleId="ListLabel16">
    <w:name w:val="ListLabel 16"/>
    <w:rPr>
      <w:b/>
      <w:i w:val="0"/>
      <w:caps/>
      <w:sz w:val="22"/>
    </w:rPr>
  </w:style>
  <w:style w:type="character" w:customStyle="1" w:styleId="ListLabel17">
    <w:name w:val="ListLabel 17"/>
    <w:rPr>
      <w:b w:val="0"/>
      <w:i/>
    </w:rPr>
  </w:style>
  <w:style w:type="character" w:customStyle="1" w:styleId="ListLabel18">
    <w:name w:val="ListLabel 18"/>
    <w:rPr>
      <w:color w:val="00000A"/>
    </w:rPr>
  </w:style>
  <w:style w:type="character" w:customStyle="1" w:styleId="ListLabel19">
    <w:name w:val="ListLabel 19"/>
    <w:rPr>
      <w:b/>
      <w:i w:val="0"/>
      <w:caps/>
      <w:sz w:val="22"/>
    </w:rPr>
  </w:style>
  <w:style w:type="character" w:customStyle="1" w:styleId="ListLabel20">
    <w:name w:val="ListLabel 20"/>
    <w:rPr>
      <w:b w:val="0"/>
      <w:i/>
    </w:rPr>
  </w:style>
  <w:style w:type="character" w:customStyle="1" w:styleId="ListLabel21">
    <w:name w:val="ListLabel 21"/>
    <w:rPr>
      <w:color w:val="00000A"/>
    </w:rPr>
  </w:style>
  <w:style w:type="character" w:customStyle="1" w:styleId="ListLabel22">
    <w:name w:val="ListLabel 22"/>
    <w:rPr>
      <w:b w:val="0"/>
      <w:i/>
    </w:rPr>
  </w:style>
  <w:style w:type="character" w:customStyle="1" w:styleId="ListLabel23">
    <w:name w:val="ListLabel 23"/>
    <w:rPr>
      <w:b w:val="0"/>
      <w:i/>
    </w:rPr>
  </w:style>
  <w:style w:type="character" w:customStyle="1" w:styleId="ListLabel24">
    <w:name w:val="ListLabel 24"/>
    <w:rPr>
      <w:b w:val="0"/>
      <w:i/>
    </w:rPr>
  </w:style>
  <w:style w:type="character" w:customStyle="1" w:styleId="ListLabel25">
    <w:name w:val="ListLabel 25"/>
    <w:rPr>
      <w:b w:val="0"/>
      <w:i/>
    </w:rPr>
  </w:style>
  <w:style w:type="character" w:customStyle="1" w:styleId="ListLabel26">
    <w:name w:val="ListLabel 26"/>
    <w:rPr>
      <w:b w:val="0"/>
      <w:i/>
    </w:rPr>
  </w:style>
  <w:style w:type="character" w:customStyle="1" w:styleId="ListLabel27">
    <w:name w:val="ListLabel 27"/>
    <w:rPr>
      <w:b w:val="0"/>
      <w:i/>
    </w:rPr>
  </w:style>
  <w:style w:type="character" w:customStyle="1" w:styleId="ListLabel28">
    <w:name w:val="ListLabel 28"/>
    <w:rPr>
      <w:b w:val="0"/>
      <w:i/>
    </w:rPr>
  </w:style>
  <w:style w:type="character" w:customStyle="1" w:styleId="ListLabel29">
    <w:name w:val="ListLabel 29"/>
    <w:rPr>
      <w:b w:val="0"/>
      <w:i/>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ascii="Gill Sans MT" w:hAnsi="Gill Sans MT" w:cs="Gill Sans MT"/>
      <w:b/>
      <w:bCs/>
      <w:spacing w:val="-20"/>
      <w:w w:val="99"/>
      <w:sz w:val="24"/>
      <w:szCs w:val="24"/>
    </w:rPr>
  </w:style>
  <w:style w:type="character" w:customStyle="1" w:styleId="ListLabel43">
    <w:name w:val="ListLabel 43"/>
    <w:rPr>
      <w:rFonts w:ascii="Gill Sans MT" w:hAnsi="Gill Sans MT" w:cs="Symbol"/>
      <w:b w:val="0"/>
      <w:bCs w:val="0"/>
      <w:w w:val="100"/>
      <w:sz w:val="22"/>
      <w:szCs w:val="22"/>
    </w:rPr>
  </w:style>
  <w:style w:type="character" w:customStyle="1" w:styleId="ListLabel44">
    <w:name w:val="ListLabel 44"/>
    <w:rPr>
      <w:rFonts w:ascii="Gill Sans MT" w:hAnsi="Gill Sans MT" w:cs="Gill Sans MT"/>
      <w:b/>
      <w:bCs/>
      <w:spacing w:val="-20"/>
      <w:w w:val="100"/>
      <w:sz w:val="24"/>
      <w:szCs w:val="24"/>
    </w:rPr>
  </w:style>
  <w:style w:type="character" w:customStyle="1" w:styleId="ListLabel45">
    <w:name w:val="ListLabel 45"/>
    <w:rPr>
      <w:rFonts w:ascii="Gill Sans MT" w:hAnsi="Gill Sans MT" w:cs="Symbol"/>
      <w:b w:val="0"/>
      <w:bCs w:val="0"/>
      <w:w w:val="100"/>
      <w:sz w:val="22"/>
      <w:szCs w:val="22"/>
    </w:rPr>
  </w:style>
  <w:style w:type="character" w:customStyle="1" w:styleId="ListLabel46">
    <w:name w:val="ListLabel 46"/>
    <w:rPr>
      <w:rFonts w:ascii="Gill Sans MT" w:hAnsi="Gill Sans MT" w:cs="Symbol"/>
      <w:b w:val="0"/>
      <w:bCs w:val="0"/>
      <w:w w:val="100"/>
      <w:sz w:val="22"/>
      <w:szCs w:val="22"/>
    </w:rPr>
  </w:style>
  <w:style w:type="character" w:customStyle="1" w:styleId="ListLabel47">
    <w:name w:val="ListLabel 47"/>
    <w:rPr>
      <w:rFonts w:ascii="Gill Sans MT" w:hAnsi="Gill Sans MT" w:cs="Gill Sans MT"/>
      <w:b/>
      <w:bCs/>
      <w:spacing w:val="-3"/>
      <w:w w:val="100"/>
      <w:sz w:val="22"/>
      <w:szCs w:val="22"/>
    </w:rPr>
  </w:style>
  <w:style w:type="character" w:customStyle="1" w:styleId="ListLabel48">
    <w:name w:val="ListLabel 48"/>
    <w:rPr>
      <w:rFonts w:ascii="Gill Sans MT" w:hAnsi="Gill Sans MT" w:cs="Gill Sans MT"/>
      <w:b w:val="0"/>
      <w:bCs w:val="0"/>
      <w:w w:val="100"/>
      <w:sz w:val="22"/>
      <w:szCs w:val="22"/>
    </w:rPr>
  </w:style>
  <w:style w:type="character" w:customStyle="1" w:styleId="ListLabel49">
    <w:name w:val="ListLabel 49"/>
    <w:rPr>
      <w:rFonts w:ascii="Gill Sans MT" w:hAnsi="Gill Sans MT" w:cs="Gill Sans MT"/>
      <w:b/>
      <w:bCs/>
      <w:spacing w:val="-3"/>
      <w:w w:val="100"/>
      <w:sz w:val="22"/>
      <w:szCs w:val="22"/>
    </w:rPr>
  </w:style>
  <w:style w:type="character" w:customStyle="1" w:styleId="ListLabel50">
    <w:name w:val="ListLabel 50"/>
    <w:rPr>
      <w:rFonts w:ascii="Gill Sans MT" w:hAnsi="Gill Sans MT" w:cs="Gill Sans MT"/>
      <w:b w:val="0"/>
      <w:bCs w:val="0"/>
      <w:w w:val="100"/>
      <w:sz w:val="22"/>
      <w:szCs w:val="22"/>
    </w:rPr>
  </w:style>
  <w:style w:type="character" w:customStyle="1" w:styleId="ListLabel51">
    <w:name w:val="ListLabel 51"/>
    <w:rPr>
      <w:rFonts w:ascii="Gill Sans MT" w:hAnsi="Gill Sans MT" w:cs="Gill Sans MT"/>
      <w:b/>
      <w:bCs/>
      <w:spacing w:val="-20"/>
      <w:w w:val="99"/>
      <w:sz w:val="24"/>
      <w:szCs w:val="24"/>
    </w:rPr>
  </w:style>
  <w:style w:type="character" w:customStyle="1" w:styleId="ListLabel52">
    <w:name w:val="ListLabel 52"/>
    <w:rPr>
      <w:rFonts w:cs="Gill Sans MT"/>
      <w:b/>
      <w:bCs/>
      <w:spacing w:val="-3"/>
      <w:w w:val="100"/>
      <w:sz w:val="22"/>
      <w:szCs w:val="22"/>
    </w:rPr>
  </w:style>
  <w:style w:type="character" w:customStyle="1" w:styleId="ListLabel53">
    <w:name w:val="ListLabel 53"/>
    <w:rPr>
      <w:rFonts w:ascii="Gill Sans MT" w:hAnsi="Gill Sans MT" w:cs="Gill Sans MT"/>
      <w:b w:val="0"/>
      <w:bCs w:val="0"/>
      <w:w w:val="100"/>
      <w:sz w:val="22"/>
      <w:szCs w:val="22"/>
    </w:rPr>
  </w:style>
  <w:style w:type="character" w:customStyle="1" w:styleId="ListLabel54">
    <w:name w:val="ListLabel 54"/>
    <w:rPr>
      <w:rFonts w:cs="Gill Sans MT"/>
      <w:b/>
      <w:bCs/>
      <w:spacing w:val="-20"/>
      <w:w w:val="99"/>
      <w:sz w:val="24"/>
      <w:szCs w:val="24"/>
    </w:rPr>
  </w:style>
  <w:style w:type="character" w:customStyle="1" w:styleId="ListLabel55">
    <w:name w:val="ListLabel 55"/>
    <w:rPr>
      <w:rFonts w:ascii="Gill Sans MT" w:hAnsi="Gill Sans MT" w:cs="Symbol"/>
      <w:b w:val="0"/>
      <w:bCs w:val="0"/>
      <w:w w:val="100"/>
      <w:sz w:val="22"/>
      <w:szCs w:val="22"/>
    </w:rPr>
  </w:style>
  <w:style w:type="character" w:customStyle="1" w:styleId="ListLabel56">
    <w:name w:val="ListLabel 56"/>
    <w:rPr>
      <w:rFonts w:ascii="Gill Sans MT" w:hAnsi="Gill Sans MT" w:cs="Symbol"/>
      <w:b w:val="0"/>
      <w:bCs w:val="0"/>
      <w:w w:val="100"/>
      <w:sz w:val="22"/>
      <w:szCs w:val="22"/>
    </w:rPr>
  </w:style>
  <w:style w:type="character" w:customStyle="1" w:styleId="ListLabel57">
    <w:name w:val="ListLabel 57"/>
    <w:rPr>
      <w:rFonts w:cs="Symbol"/>
      <w:b w:val="0"/>
      <w:bCs w:val="0"/>
      <w:w w:val="100"/>
      <w:sz w:val="22"/>
      <w:szCs w:val="22"/>
    </w:rPr>
  </w:style>
  <w:style w:type="character" w:customStyle="1" w:styleId="ListLabel58">
    <w:name w:val="ListLabel 58"/>
    <w:rPr>
      <w:rFonts w:cs="Symbol"/>
      <w:b w:val="0"/>
      <w:bCs w:val="0"/>
      <w:w w:val="100"/>
      <w:sz w:val="22"/>
      <w:szCs w:val="22"/>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59">
    <w:name w:val="ListLabel 59"/>
    <w:rPr>
      <w:rFonts w:cs="Symbol"/>
      <w:b w:val="0"/>
      <w:bCs w:val="0"/>
      <w:w w:val="100"/>
      <w:sz w:val="22"/>
      <w:szCs w:val="22"/>
    </w:rPr>
  </w:style>
  <w:style w:type="character" w:customStyle="1" w:styleId="ListLabel60">
    <w:name w:val="ListLabel 60"/>
    <w:rPr>
      <w:rFonts w:cs="Symbol"/>
    </w:rPr>
  </w:style>
  <w:style w:type="character" w:customStyle="1" w:styleId="ListLabel61">
    <w:name w:val="ListLabel 61"/>
    <w:rPr>
      <w:rFonts w:cs="Symbol"/>
    </w:rPr>
  </w:style>
  <w:style w:type="character" w:customStyle="1" w:styleId="ListLabel62">
    <w:name w:val="ListLabel 62"/>
    <w:rPr>
      <w:rFonts w:cs="Symbol"/>
    </w:rPr>
  </w:style>
  <w:style w:type="character" w:customStyle="1" w:styleId="ListLabel63">
    <w:name w:val="ListLabel 63"/>
    <w:rPr>
      <w:rFonts w:cs="Symbol"/>
    </w:rPr>
  </w:style>
  <w:style w:type="character" w:customStyle="1" w:styleId="ListLabel64">
    <w:name w:val="ListLabel 64"/>
    <w:rPr>
      <w:rFonts w:cs="Symbol"/>
    </w:rPr>
  </w:style>
  <w:style w:type="character" w:customStyle="1" w:styleId="ListLabel65">
    <w:name w:val="ListLabel 65"/>
    <w:rPr>
      <w:rFonts w:cs="Symbol"/>
    </w:rPr>
  </w:style>
  <w:style w:type="character" w:customStyle="1" w:styleId="ListLabel66">
    <w:name w:val="ListLabel 66"/>
    <w:rPr>
      <w:rFonts w:cs="Symbol"/>
    </w:rPr>
  </w:style>
  <w:style w:type="character" w:customStyle="1" w:styleId="ListLabel67">
    <w:name w:val="ListLabel 67"/>
    <w:rPr>
      <w:rFonts w:cs="Symbol"/>
    </w:rPr>
  </w:style>
  <w:style w:type="character" w:customStyle="1" w:styleId="ListLabel68">
    <w:name w:val="ListLabel 68"/>
    <w:rPr>
      <w:rFonts w:cs="Gill Sans MT"/>
      <w:b/>
      <w:bCs/>
      <w:spacing w:val="-20"/>
      <w:w w:val="100"/>
      <w:sz w:val="24"/>
      <w:szCs w:val="24"/>
    </w:rPr>
  </w:style>
  <w:style w:type="character" w:customStyle="1" w:styleId="ListLabel69">
    <w:name w:val="ListLabel 69"/>
    <w:rPr>
      <w:rFonts w:cs="Symbol"/>
      <w:b w:val="0"/>
      <w:bCs w:val="0"/>
      <w:w w:val="100"/>
      <w:sz w:val="22"/>
      <w:szCs w:val="22"/>
    </w:rPr>
  </w:style>
  <w:style w:type="character" w:customStyle="1" w:styleId="ListLabel70">
    <w:name w:val="ListLabel 70"/>
    <w:rPr>
      <w:rFonts w:cs="Symbol"/>
    </w:rPr>
  </w:style>
  <w:style w:type="character" w:customStyle="1" w:styleId="ListLabel71">
    <w:name w:val="ListLabel 71"/>
    <w:rPr>
      <w:rFonts w:cs="Symbol"/>
    </w:rPr>
  </w:style>
  <w:style w:type="character" w:customStyle="1" w:styleId="ListLabel72">
    <w:name w:val="ListLabel 72"/>
    <w:rPr>
      <w:rFonts w:cs="Symbol"/>
    </w:rPr>
  </w:style>
  <w:style w:type="character" w:customStyle="1" w:styleId="ListLabel73">
    <w:name w:val="ListLabel 73"/>
    <w:rPr>
      <w:rFonts w:cs="Symbol"/>
    </w:rPr>
  </w:style>
  <w:style w:type="character" w:customStyle="1" w:styleId="ListLabel74">
    <w:name w:val="ListLabel 74"/>
    <w:rPr>
      <w:rFonts w:cs="Symbol"/>
    </w:rPr>
  </w:style>
  <w:style w:type="character" w:customStyle="1" w:styleId="ListLabel75">
    <w:name w:val="ListLabel 75"/>
    <w:rPr>
      <w:rFonts w:cs="Symbol"/>
    </w:rPr>
  </w:style>
  <w:style w:type="character" w:customStyle="1" w:styleId="ListLabel76">
    <w:name w:val="ListLabel 76"/>
    <w:rPr>
      <w:rFonts w:ascii="Gill Sans MT" w:hAnsi="Gill Sans MT" w:cs="Gill Sans MT"/>
      <w:b w:val="0"/>
      <w:bCs w:val="0"/>
      <w:w w:val="100"/>
      <w:sz w:val="22"/>
      <w:szCs w:val="22"/>
    </w:rPr>
  </w:style>
  <w:style w:type="character" w:customStyle="1" w:styleId="ListLabel77">
    <w:name w:val="ListLabel 77"/>
    <w:rPr>
      <w:rFonts w:cs="Symbol"/>
    </w:rPr>
  </w:style>
  <w:style w:type="character" w:customStyle="1" w:styleId="ListLabel78">
    <w:name w:val="ListLabel 78"/>
    <w:rPr>
      <w:rFonts w:cs="Symbol"/>
    </w:rPr>
  </w:style>
  <w:style w:type="character" w:customStyle="1" w:styleId="ListLabel79">
    <w:name w:val="ListLabel 79"/>
    <w:rPr>
      <w:rFonts w:cs="Symbol"/>
    </w:rPr>
  </w:style>
  <w:style w:type="character" w:customStyle="1" w:styleId="ListLabel80">
    <w:name w:val="ListLabel 80"/>
    <w:rPr>
      <w:rFonts w:cs="Symbol"/>
    </w:rPr>
  </w:style>
  <w:style w:type="character" w:customStyle="1" w:styleId="ListLabel81">
    <w:name w:val="ListLabel 81"/>
    <w:rPr>
      <w:rFonts w:cs="Symbol"/>
    </w:rPr>
  </w:style>
  <w:style w:type="character" w:customStyle="1" w:styleId="ListLabel82">
    <w:name w:val="ListLabel 82"/>
    <w:rPr>
      <w:rFonts w:cs="Symbol"/>
    </w:rPr>
  </w:style>
  <w:style w:type="character" w:customStyle="1" w:styleId="ListLabel83">
    <w:name w:val="ListLabel 83"/>
    <w:rPr>
      <w:rFonts w:cs="Symbol"/>
    </w:rPr>
  </w:style>
  <w:style w:type="character" w:customStyle="1" w:styleId="ListLabel84">
    <w:name w:val="ListLabel 84"/>
    <w:rPr>
      <w:rFonts w:cs="Symbol"/>
    </w:rPr>
  </w:style>
  <w:style w:type="character" w:customStyle="1" w:styleId="ListLabel85">
    <w:name w:val="ListLabel 85"/>
    <w:rPr>
      <w:rFonts w:cs="Gill Sans MT"/>
      <w:b/>
      <w:bCs/>
      <w:spacing w:val="-20"/>
      <w:w w:val="99"/>
      <w:sz w:val="24"/>
      <w:szCs w:val="24"/>
    </w:rPr>
  </w:style>
  <w:style w:type="character" w:customStyle="1" w:styleId="ListLabel86">
    <w:name w:val="ListLabel 86"/>
    <w:rPr>
      <w:rFonts w:ascii="Gill Sans MT" w:hAnsi="Gill Sans MT" w:cs="Symbol"/>
      <w:b w:val="0"/>
      <w:bCs w:val="0"/>
      <w:w w:val="100"/>
      <w:sz w:val="22"/>
      <w:szCs w:val="22"/>
    </w:rPr>
  </w:style>
  <w:style w:type="character" w:customStyle="1" w:styleId="ListLabel87">
    <w:name w:val="ListLabel 87"/>
    <w:rPr>
      <w:rFonts w:cs="Symbol"/>
    </w:rPr>
  </w:style>
  <w:style w:type="character" w:customStyle="1" w:styleId="ListLabel88">
    <w:name w:val="ListLabel 88"/>
    <w:rPr>
      <w:rFonts w:cs="Symbol"/>
    </w:rPr>
  </w:style>
  <w:style w:type="character" w:customStyle="1" w:styleId="ListLabel89">
    <w:name w:val="ListLabel 89"/>
    <w:rPr>
      <w:rFonts w:cs="Symbol"/>
    </w:rPr>
  </w:style>
  <w:style w:type="character" w:customStyle="1" w:styleId="ListLabel90">
    <w:name w:val="ListLabel 90"/>
    <w:rPr>
      <w:rFonts w:cs="Symbol"/>
    </w:rPr>
  </w:style>
  <w:style w:type="character" w:customStyle="1" w:styleId="ListLabel91">
    <w:name w:val="ListLabel 91"/>
    <w:rPr>
      <w:rFonts w:cs="Symbol"/>
    </w:rPr>
  </w:style>
  <w:style w:type="character" w:customStyle="1" w:styleId="ListLabel92">
    <w:name w:val="ListLabel 92"/>
    <w:rPr>
      <w:rFonts w:cs="Symbol"/>
    </w:rPr>
  </w:style>
  <w:style w:type="character" w:customStyle="1" w:styleId="ListLabel93">
    <w:name w:val="ListLabel 93"/>
    <w:rPr>
      <w:rFonts w:ascii="Gill Sans MT" w:hAnsi="Gill Sans MT" w:cs="Symbol"/>
      <w:b w:val="0"/>
      <w:bCs w:val="0"/>
      <w:w w:val="100"/>
      <w:sz w:val="22"/>
      <w:szCs w:val="22"/>
    </w:rPr>
  </w:style>
  <w:style w:type="character" w:customStyle="1" w:styleId="ListLabel94">
    <w:name w:val="ListLabel 94"/>
    <w:rPr>
      <w:rFonts w:cs="Symbol"/>
    </w:rPr>
  </w:style>
  <w:style w:type="character" w:customStyle="1" w:styleId="ListLabel95">
    <w:name w:val="ListLabel 95"/>
    <w:rPr>
      <w:rFonts w:cs="Symbol"/>
    </w:rPr>
  </w:style>
  <w:style w:type="character" w:customStyle="1" w:styleId="ListLabel96">
    <w:name w:val="ListLabel 96"/>
    <w:rPr>
      <w:rFonts w:cs="Symbol"/>
    </w:rPr>
  </w:style>
  <w:style w:type="character" w:customStyle="1" w:styleId="ListLabel97">
    <w:name w:val="ListLabel 97"/>
    <w:rPr>
      <w:rFonts w:cs="Symbol"/>
    </w:rPr>
  </w:style>
  <w:style w:type="character" w:customStyle="1" w:styleId="ListLabel98">
    <w:name w:val="ListLabel 98"/>
    <w:rPr>
      <w:rFonts w:cs="Symbol"/>
    </w:rPr>
  </w:style>
  <w:style w:type="character" w:customStyle="1" w:styleId="ListLabel99">
    <w:name w:val="ListLabel 99"/>
    <w:rPr>
      <w:rFonts w:cs="Symbol"/>
    </w:rPr>
  </w:style>
  <w:style w:type="character" w:customStyle="1" w:styleId="ListLabel100">
    <w:name w:val="ListLabel 100"/>
    <w:rPr>
      <w:rFonts w:cs="Symbol"/>
    </w:rPr>
  </w:style>
  <w:style w:type="character" w:customStyle="1" w:styleId="ListLabel101">
    <w:name w:val="ListLabel 101"/>
    <w:rPr>
      <w:rFonts w:cs="Symbol"/>
    </w:rPr>
  </w:style>
  <w:style w:type="character" w:customStyle="1" w:styleId="ListLabel102">
    <w:name w:val="ListLabel 102"/>
    <w:rPr>
      <w:rFonts w:cs="OpenSymbol"/>
    </w:rPr>
  </w:style>
  <w:style w:type="character" w:customStyle="1" w:styleId="ListLabel103">
    <w:name w:val="ListLabel 103"/>
    <w:rPr>
      <w:rFonts w:cs="OpenSymbol"/>
    </w:rPr>
  </w:style>
  <w:style w:type="character" w:customStyle="1" w:styleId="ListLabel104">
    <w:name w:val="ListLabel 104"/>
    <w:rPr>
      <w:rFonts w:cs="OpenSymbol"/>
    </w:rPr>
  </w:style>
  <w:style w:type="character" w:customStyle="1" w:styleId="ListLabel105">
    <w:name w:val="ListLabel 105"/>
    <w:rPr>
      <w:rFonts w:cs="OpenSymbol"/>
    </w:rPr>
  </w:style>
  <w:style w:type="character" w:customStyle="1" w:styleId="ListLabel106">
    <w:name w:val="ListLabel 106"/>
    <w:rPr>
      <w:rFonts w:cs="OpenSymbol"/>
    </w:rPr>
  </w:style>
  <w:style w:type="character" w:customStyle="1" w:styleId="ListLabel107">
    <w:name w:val="ListLabel 107"/>
    <w:rPr>
      <w:rFonts w:cs="OpenSymbol"/>
    </w:rPr>
  </w:style>
  <w:style w:type="character" w:customStyle="1" w:styleId="ListLabel108">
    <w:name w:val="ListLabel 108"/>
    <w:rPr>
      <w:rFonts w:cs="OpenSymbol"/>
    </w:rPr>
  </w:style>
  <w:style w:type="character" w:customStyle="1" w:styleId="ListLabel109">
    <w:name w:val="ListLabel 109"/>
    <w:rPr>
      <w:rFonts w:cs="OpenSymbol"/>
    </w:rPr>
  </w:style>
  <w:style w:type="character" w:customStyle="1" w:styleId="ListLabel110">
    <w:name w:val="ListLabel 110"/>
    <w:rPr>
      <w:rFonts w:cs="OpenSymbol"/>
    </w:rPr>
  </w:style>
  <w:style w:type="character" w:customStyle="1" w:styleId="ListLabel111">
    <w:name w:val="ListLabel 111"/>
    <w:rPr>
      <w:rFonts w:cs="OpenSymbol"/>
    </w:rPr>
  </w:style>
  <w:style w:type="character" w:customStyle="1" w:styleId="ListLabel112">
    <w:name w:val="ListLabel 112"/>
    <w:rPr>
      <w:rFonts w:cs="OpenSymbol"/>
    </w:rPr>
  </w:style>
  <w:style w:type="character" w:customStyle="1" w:styleId="ListLabel113">
    <w:name w:val="ListLabel 113"/>
    <w:rPr>
      <w:rFonts w:cs="OpenSymbol"/>
    </w:rPr>
  </w:style>
  <w:style w:type="character" w:customStyle="1" w:styleId="ListLabel114">
    <w:name w:val="ListLabel 114"/>
    <w:rPr>
      <w:rFonts w:cs="OpenSymbol"/>
    </w:rPr>
  </w:style>
  <w:style w:type="character" w:customStyle="1" w:styleId="ListLabel115">
    <w:name w:val="ListLabel 115"/>
    <w:rPr>
      <w:rFonts w:cs="OpenSymbol"/>
    </w:rPr>
  </w:style>
  <w:style w:type="character" w:customStyle="1" w:styleId="ListLabel116">
    <w:name w:val="ListLabel 116"/>
    <w:rPr>
      <w:rFonts w:cs="OpenSymbol"/>
    </w:rPr>
  </w:style>
  <w:style w:type="character" w:customStyle="1" w:styleId="ListLabel117">
    <w:name w:val="ListLabel 117"/>
    <w:rPr>
      <w:rFonts w:cs="OpenSymbol"/>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cs="Symbol"/>
      <w:b w:val="0"/>
      <w:bCs w:val="0"/>
      <w:w w:val="100"/>
      <w:sz w:val="22"/>
      <w:szCs w:val="22"/>
    </w:rPr>
  </w:style>
  <w:style w:type="character" w:customStyle="1" w:styleId="ListLabel121">
    <w:name w:val="ListLabel 121"/>
    <w:rPr>
      <w:rFonts w:cs="Symbol"/>
    </w:rPr>
  </w:style>
  <w:style w:type="character" w:customStyle="1" w:styleId="ListLabel122">
    <w:name w:val="ListLabel 122"/>
    <w:rPr>
      <w:rFonts w:cs="Gill Sans MT"/>
      <w:b/>
      <w:bCs/>
      <w:spacing w:val="-20"/>
      <w:w w:val="100"/>
      <w:sz w:val="24"/>
      <w:szCs w:val="24"/>
    </w:rPr>
  </w:style>
  <w:style w:type="character" w:customStyle="1" w:styleId="ListLabel123">
    <w:name w:val="ListLabel 123"/>
    <w:rPr>
      <w:rFonts w:cs="Gill Sans MT"/>
      <w:b w:val="0"/>
      <w:bCs w:val="0"/>
      <w:w w:val="100"/>
      <w:sz w:val="22"/>
      <w:szCs w:val="22"/>
    </w:rPr>
  </w:style>
  <w:style w:type="character" w:customStyle="1" w:styleId="ListLabel124">
    <w:name w:val="ListLabel 124"/>
    <w:rPr>
      <w:rFonts w:cs="Gill Sans MT"/>
      <w:b/>
      <w:bCs/>
      <w:spacing w:val="-20"/>
      <w:w w:val="99"/>
      <w:sz w:val="24"/>
      <w:szCs w:val="24"/>
    </w:rPr>
  </w:style>
  <w:style w:type="character" w:customStyle="1" w:styleId="ListLabel125">
    <w:name w:val="ListLabel 125"/>
    <w:rPr>
      <w:rFonts w:cs="OpenSymbol"/>
    </w:rPr>
  </w:style>
  <w:style w:type="character" w:customStyle="1" w:styleId="ListLabel126">
    <w:name w:val="ListLabel 126"/>
    <w:rPr>
      <w:rFonts w:cs="Symbol"/>
      <w:b w:val="0"/>
      <w:bCs w:val="0"/>
      <w:w w:val="100"/>
      <w:sz w:val="22"/>
      <w:szCs w:val="22"/>
    </w:rPr>
  </w:style>
  <w:style w:type="character" w:customStyle="1" w:styleId="ListLabel127">
    <w:name w:val="ListLabel 127"/>
    <w:rPr>
      <w:rFonts w:cs="Symbol"/>
    </w:rPr>
  </w:style>
  <w:style w:type="character" w:customStyle="1" w:styleId="ListLabel128">
    <w:name w:val="ListLabel 128"/>
    <w:rPr>
      <w:b/>
      <w:bCs/>
      <w:spacing w:val="-20"/>
      <w:w w:val="100"/>
      <w:sz w:val="24"/>
      <w:szCs w:val="24"/>
    </w:rPr>
  </w:style>
  <w:style w:type="character" w:customStyle="1" w:styleId="ListLabel129">
    <w:name w:val="ListLabel 129"/>
    <w:rPr>
      <w:b w:val="0"/>
      <w:bCs w:val="0"/>
      <w:w w:val="100"/>
      <w:sz w:val="22"/>
      <w:szCs w:val="22"/>
    </w:rPr>
  </w:style>
  <w:style w:type="character" w:customStyle="1" w:styleId="ListLabel130">
    <w:name w:val="ListLabel 130"/>
    <w:rPr>
      <w:rFonts w:cs="OpenSymbol"/>
    </w:rPr>
  </w:style>
  <w:style w:type="paragraph" w:customStyle="1" w:styleId="Heading">
    <w:name w:val="Heading"/>
    <w:basedOn w:val="Normal"/>
    <w:next w:val="TextBody"/>
    <w:link w:val="HeadingChar"/>
    <w:qFormat/>
    <w:pPr>
      <w:keepNext/>
      <w:spacing w:before="240" w:after="120"/>
    </w:pPr>
    <w:rPr>
      <w:rFonts w:ascii="Liberation Sans" w:eastAsia="Liberation Sans" w:hAnsi="Liberation Sans" w:cs="Noto Sans Devanagari"/>
      <w:sz w:val="28"/>
      <w:szCs w:val="28"/>
    </w:rPr>
  </w:style>
  <w:style w:type="paragraph" w:customStyle="1" w:styleId="TextBody">
    <w:name w:val="Text Body"/>
    <w:basedOn w:val="Normal"/>
    <w:pPr>
      <w:spacing w:after="140" w:line="288" w:lineRule="auto"/>
    </w:pPr>
  </w:style>
  <w:style w:type="paragraph" w:styleId="List">
    <w:name w:val="List"/>
    <w:basedOn w:val="Normal"/>
    <w:uiPriority w:val="99"/>
    <w:unhideWhenUsed/>
    <w:rsid w:val="00F03ED7"/>
    <w:pPr>
      <w:ind w:left="360" w:hanging="360"/>
      <w:contextualSpacing/>
      <w:jc w:val="center"/>
    </w:pPr>
    <w:rPr>
      <w:rFonts w:cs="Lohit Devanagari"/>
    </w:rPr>
  </w:style>
  <w:style w:type="paragraph" w:styleId="Caption">
    <w:name w:val="caption"/>
    <w:basedOn w:val="Normal"/>
    <w:next w:val="Normal"/>
    <w:uiPriority w:val="35"/>
    <w:unhideWhenUsed/>
    <w:qFormat/>
    <w:rsid w:val="00A868AE"/>
    <w:pPr>
      <w:spacing w:after="200"/>
      <w:jc w:val="center"/>
    </w:pPr>
    <w:rPr>
      <w:rFonts w:eastAsia="Calibri" w:cs="Times New Roman"/>
      <w:b/>
      <w:bCs/>
      <w:sz w:val="18"/>
      <w:szCs w:val="18"/>
    </w:rPr>
  </w:style>
  <w:style w:type="paragraph" w:customStyle="1" w:styleId="Index">
    <w:name w:val="Index"/>
    <w:basedOn w:val="Normal"/>
    <w:pPr>
      <w:suppressLineNumbers/>
    </w:pPr>
    <w:rPr>
      <w:rFonts w:cs="Noto Sans Devanagari"/>
    </w:rPr>
  </w:style>
  <w:style w:type="paragraph" w:styleId="BalloonText">
    <w:name w:val="Balloon Text"/>
    <w:basedOn w:val="Normal"/>
    <w:link w:val="BalloonTextChar1"/>
    <w:uiPriority w:val="99"/>
    <w:semiHidden/>
    <w:unhideWhenUsed/>
    <w:qFormat/>
    <w:rsid w:val="00356558"/>
    <w:rPr>
      <w:rFonts w:ascii="Tahoma" w:hAnsi="Tahoma" w:cs="Tahoma"/>
      <w:sz w:val="16"/>
      <w:szCs w:val="16"/>
    </w:rPr>
  </w:style>
  <w:style w:type="paragraph" w:styleId="Header">
    <w:name w:val="header"/>
    <w:basedOn w:val="Normal"/>
    <w:link w:val="HeaderChar"/>
    <w:uiPriority w:val="99"/>
    <w:unhideWhenUsed/>
    <w:rsid w:val="00356558"/>
    <w:pPr>
      <w:tabs>
        <w:tab w:val="center" w:pos="4680"/>
        <w:tab w:val="right" w:pos="9360"/>
      </w:tabs>
    </w:pPr>
  </w:style>
  <w:style w:type="paragraph" w:styleId="Footer">
    <w:name w:val="footer"/>
    <w:basedOn w:val="Normal"/>
    <w:link w:val="FooterChar"/>
    <w:uiPriority w:val="99"/>
    <w:unhideWhenUsed/>
    <w:rsid w:val="00356558"/>
    <w:pPr>
      <w:tabs>
        <w:tab w:val="center" w:pos="4680"/>
        <w:tab w:val="right" w:pos="9360"/>
      </w:tabs>
    </w:pPr>
  </w:style>
  <w:style w:type="paragraph" w:styleId="NormalWeb">
    <w:name w:val="Normal (Web)"/>
    <w:basedOn w:val="ListParagraph"/>
    <w:uiPriority w:val="99"/>
    <w:qFormat/>
    <w:rsid w:val="00AE34A3"/>
    <w:pPr>
      <w:ind w:left="0"/>
    </w:pPr>
  </w:style>
  <w:style w:type="paragraph" w:styleId="CommentText">
    <w:name w:val="annotation text"/>
    <w:basedOn w:val="Normal"/>
    <w:link w:val="CommentTextChar"/>
    <w:uiPriority w:val="99"/>
    <w:semiHidden/>
    <w:qFormat/>
    <w:rsid w:val="008C7ADD"/>
    <w:rPr>
      <w:rFonts w:ascii="Times New Roman" w:eastAsia="Times New Roman" w:hAnsi="Times New Roman" w:cs="Times New Roman"/>
      <w:sz w:val="24"/>
      <w:szCs w:val="20"/>
    </w:rPr>
  </w:style>
  <w:style w:type="paragraph" w:customStyle="1" w:styleId="ContentsHeading">
    <w:name w:val="Contents Heading"/>
    <w:basedOn w:val="Heading1"/>
    <w:next w:val="Normal"/>
    <w:uiPriority w:val="39"/>
    <w:unhideWhenUsed/>
    <w:qFormat/>
    <w:rsid w:val="00F724F7"/>
  </w:style>
  <w:style w:type="paragraph" w:customStyle="1" w:styleId="Contents1">
    <w:name w:val="Contents 1"/>
    <w:basedOn w:val="Normal"/>
    <w:next w:val="Normal"/>
    <w:autoRedefine/>
    <w:uiPriority w:val="39"/>
    <w:unhideWhenUsed/>
    <w:rsid w:val="00212F50"/>
    <w:pPr>
      <w:spacing w:before="120"/>
    </w:pPr>
    <w:rPr>
      <w:b/>
      <w:sz w:val="24"/>
      <w:szCs w:val="24"/>
    </w:rPr>
  </w:style>
  <w:style w:type="paragraph" w:customStyle="1" w:styleId="Contents2">
    <w:name w:val="Contents 2"/>
    <w:basedOn w:val="Normal"/>
    <w:next w:val="Normal"/>
    <w:autoRedefine/>
    <w:uiPriority w:val="39"/>
    <w:unhideWhenUsed/>
    <w:rsid w:val="00322DF8"/>
    <w:pPr>
      <w:ind w:left="220"/>
    </w:pPr>
    <w:rPr>
      <w:b/>
    </w:rPr>
  </w:style>
  <w:style w:type="paragraph" w:customStyle="1" w:styleId="Contents3">
    <w:name w:val="Contents 3"/>
    <w:basedOn w:val="Normal"/>
    <w:next w:val="Normal"/>
    <w:autoRedefine/>
    <w:uiPriority w:val="39"/>
    <w:unhideWhenUsed/>
    <w:rsid w:val="005750F8"/>
    <w:pPr>
      <w:ind w:left="440"/>
    </w:pPr>
  </w:style>
  <w:style w:type="paragraph" w:styleId="ListBullet3">
    <w:name w:val="List Bullet 3"/>
    <w:basedOn w:val="Normal"/>
    <w:uiPriority w:val="99"/>
    <w:unhideWhenUsed/>
    <w:qFormat/>
    <w:rsid w:val="009146FE"/>
    <w:pPr>
      <w:ind w:left="720" w:hanging="360"/>
      <w:contextualSpacing/>
      <w:jc w:val="center"/>
    </w:pPr>
  </w:style>
  <w:style w:type="paragraph" w:styleId="TableofFigures">
    <w:name w:val="table of figures"/>
    <w:basedOn w:val="Normal"/>
    <w:next w:val="Normal"/>
    <w:uiPriority w:val="99"/>
    <w:unhideWhenUsed/>
    <w:qFormat/>
    <w:rsid w:val="00387301"/>
  </w:style>
  <w:style w:type="paragraph" w:customStyle="1" w:styleId="Contents4">
    <w:name w:val="Contents 4"/>
    <w:basedOn w:val="Normal"/>
    <w:next w:val="Normal"/>
    <w:autoRedefine/>
    <w:uiPriority w:val="39"/>
    <w:unhideWhenUsed/>
    <w:rsid w:val="007415A0"/>
    <w:pPr>
      <w:ind w:left="660"/>
    </w:pPr>
    <w:rPr>
      <w:sz w:val="20"/>
      <w:szCs w:val="20"/>
    </w:rPr>
  </w:style>
  <w:style w:type="paragraph" w:customStyle="1" w:styleId="Contents5">
    <w:name w:val="Contents 5"/>
    <w:basedOn w:val="Normal"/>
    <w:next w:val="Normal"/>
    <w:autoRedefine/>
    <w:uiPriority w:val="39"/>
    <w:unhideWhenUsed/>
    <w:rsid w:val="007415A0"/>
    <w:pPr>
      <w:ind w:left="880"/>
    </w:pPr>
    <w:rPr>
      <w:sz w:val="20"/>
      <w:szCs w:val="20"/>
    </w:rPr>
  </w:style>
  <w:style w:type="paragraph" w:customStyle="1" w:styleId="Contents6">
    <w:name w:val="Contents 6"/>
    <w:basedOn w:val="Normal"/>
    <w:next w:val="Normal"/>
    <w:autoRedefine/>
    <w:uiPriority w:val="39"/>
    <w:unhideWhenUsed/>
    <w:rsid w:val="007415A0"/>
    <w:pPr>
      <w:ind w:left="1100"/>
    </w:pPr>
    <w:rPr>
      <w:sz w:val="20"/>
      <w:szCs w:val="20"/>
    </w:rPr>
  </w:style>
  <w:style w:type="paragraph" w:customStyle="1" w:styleId="Contents7">
    <w:name w:val="Contents 7"/>
    <w:basedOn w:val="Normal"/>
    <w:next w:val="Normal"/>
    <w:autoRedefine/>
    <w:uiPriority w:val="39"/>
    <w:unhideWhenUsed/>
    <w:rsid w:val="007415A0"/>
    <w:pPr>
      <w:ind w:left="1320"/>
    </w:pPr>
    <w:rPr>
      <w:sz w:val="20"/>
      <w:szCs w:val="20"/>
    </w:rPr>
  </w:style>
  <w:style w:type="paragraph" w:customStyle="1" w:styleId="Contents8">
    <w:name w:val="Contents 8"/>
    <w:basedOn w:val="Normal"/>
    <w:next w:val="Normal"/>
    <w:autoRedefine/>
    <w:uiPriority w:val="39"/>
    <w:unhideWhenUsed/>
    <w:rsid w:val="007415A0"/>
    <w:pPr>
      <w:ind w:left="1540"/>
    </w:pPr>
    <w:rPr>
      <w:sz w:val="20"/>
      <w:szCs w:val="20"/>
    </w:rPr>
  </w:style>
  <w:style w:type="paragraph" w:customStyle="1" w:styleId="Contents9">
    <w:name w:val="Contents 9"/>
    <w:basedOn w:val="Normal"/>
    <w:next w:val="Normal"/>
    <w:autoRedefine/>
    <w:uiPriority w:val="39"/>
    <w:unhideWhenUsed/>
    <w:rsid w:val="007415A0"/>
    <w:pPr>
      <w:ind w:left="1760"/>
    </w:pPr>
    <w:rPr>
      <w:sz w:val="20"/>
      <w:szCs w:val="20"/>
    </w:rPr>
  </w:style>
  <w:style w:type="paragraph" w:styleId="ListParagraph">
    <w:name w:val="List Paragraph"/>
    <w:basedOn w:val="Normal"/>
    <w:link w:val="ListParagraphChar"/>
    <w:uiPriority w:val="34"/>
    <w:qFormat/>
    <w:rsid w:val="001B6861"/>
    <w:pPr>
      <w:ind w:left="720"/>
      <w:contextualSpacing/>
    </w:pPr>
  </w:style>
  <w:style w:type="paragraph" w:styleId="CommentSubject">
    <w:name w:val="annotation subject"/>
    <w:basedOn w:val="CommentText"/>
    <w:link w:val="CommentSubjectChar"/>
    <w:rsid w:val="00EB129F"/>
    <w:rPr>
      <w:rFonts w:asciiTheme="minorHAnsi" w:eastAsiaTheme="minorHAnsi" w:hAnsiTheme="minorHAnsi" w:cstheme="minorBidi"/>
      <w:b/>
      <w:bCs/>
      <w:sz w:val="20"/>
    </w:rPr>
  </w:style>
  <w:style w:type="paragraph" w:styleId="PlainText">
    <w:name w:val="Plain Text"/>
    <w:basedOn w:val="Normal"/>
    <w:link w:val="PlainTextChar"/>
    <w:uiPriority w:val="99"/>
    <w:unhideWhenUsed/>
    <w:qFormat/>
    <w:rsid w:val="006B0697"/>
    <w:rPr>
      <w:szCs w:val="21"/>
    </w:rPr>
  </w:style>
  <w:style w:type="numbering" w:customStyle="1" w:styleId="Style1">
    <w:name w:val="Style1"/>
    <w:qFormat/>
    <w:rsid w:val="006220EF"/>
  </w:style>
  <w:style w:type="table" w:styleId="TableGrid">
    <w:name w:val="Table Grid"/>
    <w:basedOn w:val="TableNormal"/>
    <w:uiPriority w:val="59"/>
    <w:rsid w:val="003565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D2B41"/>
    <w:pPr>
      <w:autoSpaceDE w:val="0"/>
      <w:autoSpaceDN w:val="0"/>
      <w:adjustRightInd w:val="0"/>
    </w:pPr>
    <w:rPr>
      <w:rFonts w:ascii="Gill Sans MT" w:hAnsi="Gill Sans MT" w:cs="Gill Sans MT"/>
      <w:color w:val="000000"/>
      <w:sz w:val="24"/>
      <w:szCs w:val="24"/>
    </w:rPr>
  </w:style>
  <w:style w:type="paragraph" w:styleId="TOC1">
    <w:name w:val="toc 1"/>
    <w:basedOn w:val="Normal"/>
    <w:next w:val="Normal"/>
    <w:autoRedefine/>
    <w:uiPriority w:val="39"/>
    <w:unhideWhenUsed/>
    <w:rsid w:val="007A3D30"/>
    <w:pPr>
      <w:tabs>
        <w:tab w:val="left" w:pos="660"/>
        <w:tab w:val="right" w:leader="dot" w:pos="9350"/>
      </w:tabs>
      <w:spacing w:after="100"/>
    </w:pPr>
    <w:rPr>
      <w:b/>
      <w:sz w:val="28"/>
    </w:rPr>
  </w:style>
  <w:style w:type="paragraph" w:styleId="TOC2">
    <w:name w:val="toc 2"/>
    <w:basedOn w:val="Normal"/>
    <w:next w:val="Normal"/>
    <w:autoRedefine/>
    <w:uiPriority w:val="39"/>
    <w:unhideWhenUsed/>
    <w:rsid w:val="00686713"/>
    <w:pPr>
      <w:tabs>
        <w:tab w:val="left" w:pos="880"/>
        <w:tab w:val="right" w:leader="dot" w:pos="9350"/>
      </w:tabs>
      <w:spacing w:after="100"/>
      <w:ind w:left="220"/>
    </w:pPr>
  </w:style>
  <w:style w:type="paragraph" w:styleId="TOC3">
    <w:name w:val="toc 3"/>
    <w:basedOn w:val="Normal"/>
    <w:next w:val="Normal"/>
    <w:autoRedefine/>
    <w:uiPriority w:val="39"/>
    <w:unhideWhenUsed/>
    <w:rsid w:val="009323A1"/>
    <w:pPr>
      <w:tabs>
        <w:tab w:val="left" w:pos="1320"/>
        <w:tab w:val="right" w:leader="dot" w:pos="9350"/>
      </w:tabs>
      <w:spacing w:after="100"/>
      <w:ind w:left="440"/>
    </w:pPr>
  </w:style>
  <w:style w:type="character" w:styleId="Hyperlink">
    <w:name w:val="Hyperlink"/>
    <w:basedOn w:val="DefaultParagraphFont"/>
    <w:uiPriority w:val="99"/>
    <w:unhideWhenUsed/>
    <w:rsid w:val="00EB1D2B"/>
    <w:rPr>
      <w:color w:val="0000FF" w:themeColor="hyperlink"/>
      <w:u w:val="single"/>
    </w:rPr>
  </w:style>
  <w:style w:type="character" w:styleId="FollowedHyperlink">
    <w:name w:val="FollowedHyperlink"/>
    <w:basedOn w:val="DefaultParagraphFont"/>
    <w:uiPriority w:val="99"/>
    <w:rsid w:val="00517040"/>
    <w:rPr>
      <w:color w:val="800080" w:themeColor="followedHyperlink"/>
      <w:u w:val="single"/>
    </w:rPr>
  </w:style>
  <w:style w:type="character" w:customStyle="1" w:styleId="st">
    <w:name w:val="st"/>
    <w:basedOn w:val="DefaultParagraphFont"/>
    <w:rsid w:val="009D2983"/>
  </w:style>
  <w:style w:type="paragraph" w:customStyle="1" w:styleId="paragraph">
    <w:name w:val="paragraph"/>
    <w:basedOn w:val="Normal"/>
    <w:rsid w:val="00A60D76"/>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A60D76"/>
  </w:style>
  <w:style w:type="character" w:customStyle="1" w:styleId="spellingerror">
    <w:name w:val="spellingerror"/>
    <w:basedOn w:val="DefaultParagraphFont"/>
    <w:rsid w:val="00A60D76"/>
  </w:style>
  <w:style w:type="character" w:customStyle="1" w:styleId="eop">
    <w:name w:val="eop"/>
    <w:basedOn w:val="DefaultParagraphFont"/>
    <w:rsid w:val="00FE253C"/>
  </w:style>
  <w:style w:type="paragraph" w:styleId="Revision">
    <w:name w:val="Revision"/>
    <w:hidden/>
    <w:semiHidden/>
    <w:rsid w:val="00366F05"/>
    <w:rPr>
      <w:color w:val="00000A"/>
      <w:sz w:val="22"/>
    </w:rPr>
  </w:style>
  <w:style w:type="character" w:styleId="Emphasis">
    <w:name w:val="Emphasis"/>
    <w:basedOn w:val="DefaultParagraphFont"/>
    <w:uiPriority w:val="20"/>
    <w:rsid w:val="00DC3E8E"/>
    <w:rPr>
      <w:i/>
      <w:iCs/>
    </w:rPr>
  </w:style>
  <w:style w:type="paragraph" w:customStyle="1" w:styleId="Appendix">
    <w:name w:val="Appendix"/>
    <w:basedOn w:val="Heading1"/>
    <w:link w:val="AppendixChar"/>
    <w:qFormat/>
    <w:rsid w:val="0053778B"/>
    <w:pPr>
      <w:keepNext/>
      <w:keepLines/>
      <w:tabs>
        <w:tab w:val="left" w:pos="1440"/>
      </w:tabs>
      <w:spacing w:before="240" w:after="240"/>
    </w:pPr>
    <w:rPr>
      <w:rFonts w:cstheme="majorBidi"/>
      <w:caps w:val="0"/>
    </w:rPr>
  </w:style>
  <w:style w:type="character" w:customStyle="1" w:styleId="AppendixChar">
    <w:name w:val="Appendix Char"/>
    <w:basedOn w:val="Heading1Char"/>
    <w:link w:val="Appendix"/>
    <w:rsid w:val="0053778B"/>
    <w:rPr>
      <w:rFonts w:ascii="Gill Sans MT Bold" w:eastAsiaTheme="majorEastAsia" w:hAnsi="Gill Sans MT Bold" w:cstheme="majorBidi"/>
      <w:b/>
      <w:bCs/>
      <w:iCs/>
      <w:caps w:val="0"/>
      <w:sz w:val="28"/>
      <w:szCs w:val="28"/>
    </w:rPr>
  </w:style>
  <w:style w:type="paragraph" w:styleId="Index6">
    <w:name w:val="index 6"/>
    <w:basedOn w:val="Normal"/>
    <w:next w:val="Normal"/>
    <w:autoRedefine/>
    <w:rsid w:val="00E813C1"/>
    <w:pPr>
      <w:ind w:left="1320" w:hanging="220"/>
    </w:pPr>
  </w:style>
  <w:style w:type="paragraph" w:styleId="TOCHeading">
    <w:name w:val="TOC Heading"/>
    <w:basedOn w:val="Heading1"/>
    <w:next w:val="Normal"/>
    <w:uiPriority w:val="39"/>
    <w:unhideWhenUsed/>
    <w:qFormat/>
    <w:rsid w:val="00FE7B52"/>
    <w:pPr>
      <w:keepNext/>
      <w:keepLines/>
      <w:spacing w:before="240" w:line="259" w:lineRule="auto"/>
      <w:ind w:left="0"/>
      <w:outlineLvl w:val="9"/>
    </w:pPr>
    <w:rPr>
      <w:rFonts w:asciiTheme="majorHAnsi" w:hAnsiTheme="majorHAnsi" w:cstheme="majorBidi"/>
      <w:b w:val="0"/>
      <w:bCs w:val="0"/>
      <w:color w:val="365F91" w:themeColor="accent1" w:themeShade="BF"/>
      <w:sz w:val="32"/>
      <w:szCs w:val="32"/>
    </w:rPr>
  </w:style>
  <w:style w:type="paragraph" w:styleId="TOC4">
    <w:name w:val="toc 4"/>
    <w:basedOn w:val="Normal"/>
    <w:next w:val="Normal"/>
    <w:autoRedefine/>
    <w:uiPriority w:val="39"/>
    <w:unhideWhenUsed/>
    <w:rsid w:val="00FE7B52"/>
    <w:pPr>
      <w:spacing w:after="100" w:line="259" w:lineRule="auto"/>
      <w:ind w:left="660"/>
    </w:pPr>
    <w:rPr>
      <w:rFonts w:eastAsiaTheme="minorEastAsia"/>
    </w:rPr>
  </w:style>
  <w:style w:type="paragraph" w:styleId="TOC5">
    <w:name w:val="toc 5"/>
    <w:basedOn w:val="Normal"/>
    <w:next w:val="Normal"/>
    <w:autoRedefine/>
    <w:uiPriority w:val="39"/>
    <w:unhideWhenUsed/>
    <w:rsid w:val="00FE7B52"/>
    <w:pPr>
      <w:spacing w:after="100" w:line="259" w:lineRule="auto"/>
      <w:ind w:left="880"/>
    </w:pPr>
    <w:rPr>
      <w:rFonts w:eastAsiaTheme="minorEastAsia"/>
    </w:rPr>
  </w:style>
  <w:style w:type="paragraph" w:styleId="TOC6">
    <w:name w:val="toc 6"/>
    <w:basedOn w:val="Normal"/>
    <w:next w:val="Normal"/>
    <w:autoRedefine/>
    <w:uiPriority w:val="39"/>
    <w:unhideWhenUsed/>
    <w:rsid w:val="00FE7B52"/>
    <w:pPr>
      <w:spacing w:after="100" w:line="259" w:lineRule="auto"/>
      <w:ind w:left="1100"/>
    </w:pPr>
    <w:rPr>
      <w:rFonts w:eastAsiaTheme="minorEastAsia"/>
    </w:rPr>
  </w:style>
  <w:style w:type="paragraph" w:styleId="TOC7">
    <w:name w:val="toc 7"/>
    <w:basedOn w:val="Normal"/>
    <w:next w:val="Normal"/>
    <w:autoRedefine/>
    <w:uiPriority w:val="39"/>
    <w:unhideWhenUsed/>
    <w:rsid w:val="00FE7B52"/>
    <w:pPr>
      <w:spacing w:after="100" w:line="259" w:lineRule="auto"/>
      <w:ind w:left="1320"/>
    </w:pPr>
    <w:rPr>
      <w:rFonts w:eastAsiaTheme="minorEastAsia"/>
    </w:rPr>
  </w:style>
  <w:style w:type="paragraph" w:styleId="TOC8">
    <w:name w:val="toc 8"/>
    <w:basedOn w:val="Normal"/>
    <w:next w:val="Normal"/>
    <w:autoRedefine/>
    <w:uiPriority w:val="39"/>
    <w:unhideWhenUsed/>
    <w:rsid w:val="00FE7B52"/>
    <w:pPr>
      <w:spacing w:after="100" w:line="259" w:lineRule="auto"/>
      <w:ind w:left="1540"/>
    </w:pPr>
    <w:rPr>
      <w:rFonts w:eastAsiaTheme="minorEastAsia"/>
    </w:rPr>
  </w:style>
  <w:style w:type="paragraph" w:styleId="TOC9">
    <w:name w:val="toc 9"/>
    <w:basedOn w:val="Normal"/>
    <w:next w:val="Normal"/>
    <w:autoRedefine/>
    <w:uiPriority w:val="39"/>
    <w:unhideWhenUsed/>
    <w:rsid w:val="00FE7B52"/>
    <w:pPr>
      <w:spacing w:after="100" w:line="259" w:lineRule="auto"/>
      <w:ind w:left="1760"/>
    </w:pPr>
    <w:rPr>
      <w:rFonts w:eastAsiaTheme="minorEastAsia"/>
    </w:rPr>
  </w:style>
  <w:style w:type="paragraph" w:customStyle="1" w:styleId="BulletList">
    <w:name w:val="Bullet List"/>
    <w:basedOn w:val="ListParagraph"/>
    <w:link w:val="BulletListChar"/>
    <w:qFormat/>
    <w:rsid w:val="00A449E9"/>
    <w:pPr>
      <w:ind w:hanging="360"/>
    </w:pPr>
  </w:style>
  <w:style w:type="character" w:customStyle="1" w:styleId="ListParagraphChar">
    <w:name w:val="List Paragraph Char"/>
    <w:basedOn w:val="DefaultParagraphFont"/>
    <w:link w:val="ListParagraph"/>
    <w:uiPriority w:val="34"/>
    <w:rsid w:val="00A449E9"/>
    <w:rPr>
      <w:rFonts w:ascii="Gill Sans MT" w:hAnsi="Gill Sans MT"/>
      <w:color w:val="00000A"/>
      <w:sz w:val="22"/>
    </w:rPr>
  </w:style>
  <w:style w:type="character" w:customStyle="1" w:styleId="BulletListChar">
    <w:name w:val="Bullet List Char"/>
    <w:basedOn w:val="ListParagraphChar"/>
    <w:link w:val="BulletList"/>
    <w:rsid w:val="00A449E9"/>
    <w:rPr>
      <w:rFonts w:ascii="Gill Sans MT" w:hAnsi="Gill Sans MT"/>
      <w:color w:val="00000A"/>
      <w:sz w:val="22"/>
    </w:rPr>
  </w:style>
  <w:style w:type="character" w:customStyle="1" w:styleId="A7">
    <w:name w:val="A7"/>
    <w:uiPriority w:val="99"/>
    <w:rsid w:val="00800715"/>
    <w:rPr>
      <w:rFonts w:cs="Proxima Nova Light"/>
      <w:color w:val="211D1E"/>
      <w:sz w:val="22"/>
      <w:szCs w:val="22"/>
    </w:rPr>
  </w:style>
  <w:style w:type="character" w:customStyle="1" w:styleId="csd5d7d290">
    <w:name w:val="csd5d7d290"/>
    <w:basedOn w:val="DefaultParagraphFont"/>
    <w:rsid w:val="00576C87"/>
  </w:style>
  <w:style w:type="table" w:styleId="GridTable2-Accent2">
    <w:name w:val="Grid Table 2 Accent 2"/>
    <w:basedOn w:val="TableNormal"/>
    <w:uiPriority w:val="47"/>
    <w:rsid w:val="00BE634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1">
    <w:name w:val="Grid Table 5 Dark Accent 1"/>
    <w:basedOn w:val="TableNormal"/>
    <w:uiPriority w:val="50"/>
    <w:rsid w:val="00BE63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FootnoteText">
    <w:name w:val="footnote text"/>
    <w:basedOn w:val="Normal"/>
    <w:link w:val="FootnoteTextChar"/>
    <w:uiPriority w:val="99"/>
    <w:unhideWhenUsed/>
    <w:rsid w:val="005C488F"/>
    <w:rPr>
      <w:sz w:val="20"/>
      <w:szCs w:val="20"/>
    </w:rPr>
  </w:style>
  <w:style w:type="character" w:customStyle="1" w:styleId="FootnoteTextChar">
    <w:name w:val="Footnote Text Char"/>
    <w:basedOn w:val="DefaultParagraphFont"/>
    <w:link w:val="FootnoteText"/>
    <w:uiPriority w:val="99"/>
    <w:rsid w:val="005C488F"/>
    <w:rPr>
      <w:rFonts w:ascii="Gill Sans MT" w:hAnsi="Gill Sans MT"/>
      <w:color w:val="00000A"/>
      <w:szCs w:val="20"/>
    </w:rPr>
  </w:style>
  <w:style w:type="character" w:styleId="FootnoteReference">
    <w:name w:val="footnote reference"/>
    <w:basedOn w:val="DefaultParagraphFont"/>
    <w:uiPriority w:val="99"/>
    <w:unhideWhenUsed/>
    <w:rsid w:val="005C488F"/>
    <w:rPr>
      <w:vertAlign w:val="superscript"/>
    </w:rPr>
  </w:style>
  <w:style w:type="paragraph" w:customStyle="1" w:styleId="MainTitle">
    <w:name w:val="Main Title"/>
    <w:basedOn w:val="Heading"/>
    <w:link w:val="MainTitleChar"/>
    <w:qFormat/>
    <w:rsid w:val="00834FEA"/>
    <w:pPr>
      <w:jc w:val="center"/>
    </w:pPr>
    <w:rPr>
      <w:rFonts w:ascii="Arial" w:hAnsi="Arial" w:cs="Arial"/>
      <w:b/>
      <w:sz w:val="44"/>
      <w:szCs w:val="44"/>
    </w:rPr>
  </w:style>
  <w:style w:type="character" w:customStyle="1" w:styleId="HeadingChar">
    <w:name w:val="Heading Char"/>
    <w:basedOn w:val="DefaultParagraphFont"/>
    <w:link w:val="Heading"/>
    <w:rsid w:val="00834FEA"/>
    <w:rPr>
      <w:rFonts w:ascii="Liberation Sans" w:eastAsia="Liberation Sans" w:hAnsi="Liberation Sans" w:cs="Noto Sans Devanagari"/>
      <w:color w:val="00000A"/>
      <w:sz w:val="28"/>
      <w:szCs w:val="28"/>
    </w:rPr>
  </w:style>
  <w:style w:type="character" w:customStyle="1" w:styleId="MainTitleChar">
    <w:name w:val="Main Title Char"/>
    <w:basedOn w:val="HeadingChar"/>
    <w:link w:val="MainTitle"/>
    <w:rsid w:val="00834FEA"/>
    <w:rPr>
      <w:rFonts w:ascii="Arial" w:eastAsia="Liberation Sans" w:hAnsi="Arial" w:cs="Arial"/>
      <w:b/>
      <w:color w:val="00000A"/>
      <w:sz w:val="44"/>
      <w:szCs w:val="44"/>
    </w:rPr>
  </w:style>
  <w:style w:type="numbering" w:customStyle="1" w:styleId="Style2">
    <w:name w:val="Style2"/>
    <w:uiPriority w:val="99"/>
    <w:rsid w:val="009439CA"/>
    <w:pPr>
      <w:numPr>
        <w:numId w:val="7"/>
      </w:numPr>
    </w:pPr>
  </w:style>
  <w:style w:type="numbering" w:customStyle="1" w:styleId="Style3">
    <w:name w:val="Style3"/>
    <w:uiPriority w:val="99"/>
    <w:rsid w:val="00B53C7E"/>
    <w:pPr>
      <w:numPr>
        <w:numId w:val="8"/>
      </w:numPr>
    </w:pPr>
  </w:style>
  <w:style w:type="paragraph" w:customStyle="1" w:styleId="Figure">
    <w:name w:val="Figure"/>
    <w:basedOn w:val="Normal"/>
    <w:link w:val="FigureChar"/>
    <w:qFormat/>
    <w:rsid w:val="006F7B4B"/>
    <w:rPr>
      <w:sz w:val="18"/>
      <w:szCs w:val="18"/>
    </w:rPr>
  </w:style>
  <w:style w:type="paragraph" w:customStyle="1" w:styleId="TableCaption">
    <w:name w:val="Table Caption"/>
    <w:basedOn w:val="Normal"/>
    <w:link w:val="TableCaptionChar"/>
    <w:qFormat/>
    <w:rsid w:val="005748C0"/>
  </w:style>
  <w:style w:type="character" w:customStyle="1" w:styleId="FigureChar">
    <w:name w:val="Figure Char"/>
    <w:basedOn w:val="DefaultParagraphFont"/>
    <w:link w:val="Figure"/>
    <w:rsid w:val="006F7B4B"/>
    <w:rPr>
      <w:rFonts w:ascii="Arial" w:hAnsi="Arial" w:cs="Arial"/>
      <w:color w:val="00000A"/>
      <w:sz w:val="18"/>
      <w:szCs w:val="18"/>
    </w:rPr>
  </w:style>
  <w:style w:type="character" w:customStyle="1" w:styleId="TableCaptionChar">
    <w:name w:val="Table Caption Char"/>
    <w:basedOn w:val="DefaultParagraphFont"/>
    <w:link w:val="TableCaption"/>
    <w:rsid w:val="005748C0"/>
    <w:rPr>
      <w:rFonts w:ascii="Arial" w:hAnsi="Arial" w:cs="Arial"/>
      <w:color w:val="00000A"/>
      <w:sz w:val="22"/>
    </w:rPr>
  </w:style>
  <w:style w:type="character" w:customStyle="1" w:styleId="A3">
    <w:name w:val="A3"/>
    <w:basedOn w:val="DefaultParagraphFont"/>
    <w:uiPriority w:val="99"/>
    <w:rsid w:val="00D06D09"/>
    <w:rPr>
      <w:color w:val="000000"/>
    </w:rPr>
  </w:style>
  <w:style w:type="paragraph" w:styleId="BodyText">
    <w:name w:val="Body Text"/>
    <w:basedOn w:val="Normal"/>
    <w:link w:val="BodyTextChar"/>
    <w:uiPriority w:val="1"/>
    <w:qFormat/>
    <w:rsid w:val="00FA1B7B"/>
    <w:pPr>
      <w:widowControl w:val="0"/>
      <w:autoSpaceDE w:val="0"/>
      <w:autoSpaceDN w:val="0"/>
    </w:pPr>
    <w:rPr>
      <w:rFonts w:eastAsia="Arial"/>
    </w:rPr>
  </w:style>
  <w:style w:type="character" w:customStyle="1" w:styleId="BodyTextChar">
    <w:name w:val="Body Text Char"/>
    <w:basedOn w:val="DefaultParagraphFont"/>
    <w:link w:val="BodyText"/>
    <w:uiPriority w:val="1"/>
    <w:rsid w:val="00FA1B7B"/>
    <w:rPr>
      <w:rFonts w:ascii="Arial" w:eastAsia="Arial" w:hAnsi="Arial" w:cs="Arial"/>
      <w:sz w:val="22"/>
    </w:rPr>
  </w:style>
  <w:style w:type="paragraph" w:customStyle="1" w:styleId="Standard">
    <w:name w:val="Standard"/>
    <w:rsid w:val="00870EAD"/>
    <w:pPr>
      <w:suppressAutoHyphens/>
      <w:autoSpaceDN w:val="0"/>
      <w:textAlignment w:val="baseline"/>
    </w:pPr>
    <w:rPr>
      <w:rFonts w:ascii="Liberation Serif" w:eastAsia="Noto Serif CJK SC" w:hAnsi="Liberation Serif" w:cs="Noto Sans Devanagari"/>
      <w:kern w:val="3"/>
      <w:sz w:val="24"/>
      <w:szCs w:val="24"/>
      <w:lang w:eastAsia="zh-CN" w:bidi="hi-IN"/>
    </w:rPr>
  </w:style>
  <w:style w:type="paragraph" w:customStyle="1" w:styleId="msonormal0">
    <w:name w:val="msonormal"/>
    <w:basedOn w:val="Normal"/>
    <w:rsid w:val="00C54BE9"/>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ont5">
    <w:name w:val="font5"/>
    <w:basedOn w:val="Normal"/>
    <w:rsid w:val="00C54BE9"/>
    <w:pPr>
      <w:spacing w:before="100" w:beforeAutospacing="1" w:after="100" w:afterAutospacing="1" w:line="240" w:lineRule="auto"/>
      <w:jc w:val="left"/>
    </w:pPr>
    <w:rPr>
      <w:rFonts w:eastAsia="Times New Roman" w:cs="Times New Roman"/>
      <w:color w:val="000000"/>
      <w:sz w:val="18"/>
      <w:szCs w:val="18"/>
    </w:rPr>
  </w:style>
  <w:style w:type="paragraph" w:customStyle="1" w:styleId="font6">
    <w:name w:val="font6"/>
    <w:basedOn w:val="Normal"/>
    <w:rsid w:val="00C54BE9"/>
    <w:pPr>
      <w:spacing w:before="100" w:beforeAutospacing="1" w:after="100" w:afterAutospacing="1" w:line="240" w:lineRule="auto"/>
      <w:jc w:val="left"/>
    </w:pPr>
    <w:rPr>
      <w:rFonts w:eastAsia="Times New Roman" w:cs="Times New Roman"/>
      <w:color w:val="000000"/>
      <w:sz w:val="18"/>
      <w:szCs w:val="18"/>
    </w:rPr>
  </w:style>
  <w:style w:type="paragraph" w:customStyle="1" w:styleId="font7">
    <w:name w:val="font7"/>
    <w:basedOn w:val="Normal"/>
    <w:rsid w:val="00C54BE9"/>
    <w:pPr>
      <w:spacing w:before="100" w:beforeAutospacing="1" w:after="100" w:afterAutospacing="1" w:line="240" w:lineRule="auto"/>
      <w:jc w:val="left"/>
    </w:pPr>
    <w:rPr>
      <w:rFonts w:ascii="Times New Roman" w:eastAsia="Times New Roman" w:hAnsi="Times New Roman" w:cs="Times New Roman"/>
      <w:color w:val="000000"/>
      <w:sz w:val="14"/>
      <w:szCs w:val="14"/>
    </w:rPr>
  </w:style>
  <w:style w:type="paragraph" w:customStyle="1" w:styleId="font8">
    <w:name w:val="font8"/>
    <w:basedOn w:val="Normal"/>
    <w:rsid w:val="00C54BE9"/>
    <w:pPr>
      <w:spacing w:before="100" w:beforeAutospacing="1" w:after="100" w:afterAutospacing="1" w:line="240" w:lineRule="auto"/>
      <w:jc w:val="left"/>
    </w:pPr>
    <w:rPr>
      <w:rFonts w:ascii="Times New Roman" w:eastAsia="Times New Roman" w:hAnsi="Times New Roman" w:cs="Times New Roman"/>
      <w:color w:val="000000"/>
      <w:sz w:val="14"/>
      <w:szCs w:val="14"/>
    </w:rPr>
  </w:style>
  <w:style w:type="paragraph" w:customStyle="1" w:styleId="font9">
    <w:name w:val="font9"/>
    <w:basedOn w:val="Normal"/>
    <w:rsid w:val="00C54BE9"/>
    <w:pPr>
      <w:spacing w:before="100" w:beforeAutospacing="1" w:after="100" w:afterAutospacing="1" w:line="240" w:lineRule="auto"/>
      <w:jc w:val="left"/>
    </w:pPr>
    <w:rPr>
      <w:rFonts w:ascii="Times New Roman" w:eastAsia="Times New Roman" w:hAnsi="Times New Roman" w:cs="Times New Roman"/>
      <w:color w:val="000000"/>
      <w:sz w:val="18"/>
      <w:szCs w:val="18"/>
    </w:rPr>
  </w:style>
  <w:style w:type="paragraph" w:customStyle="1" w:styleId="font10">
    <w:name w:val="font10"/>
    <w:basedOn w:val="Normal"/>
    <w:rsid w:val="00C54BE9"/>
    <w:pPr>
      <w:spacing w:before="100" w:beforeAutospacing="1" w:after="100" w:afterAutospacing="1" w:line="240" w:lineRule="auto"/>
      <w:jc w:val="left"/>
    </w:pPr>
    <w:rPr>
      <w:rFonts w:eastAsia="Times New Roman" w:cs="Times New Roman"/>
      <w:color w:val="000000"/>
      <w:sz w:val="18"/>
      <w:szCs w:val="18"/>
    </w:rPr>
  </w:style>
  <w:style w:type="paragraph" w:customStyle="1" w:styleId="font11">
    <w:name w:val="font11"/>
    <w:basedOn w:val="Normal"/>
    <w:rsid w:val="00C54BE9"/>
    <w:pPr>
      <w:spacing w:before="100" w:beforeAutospacing="1" w:after="100" w:afterAutospacing="1" w:line="240" w:lineRule="auto"/>
      <w:jc w:val="left"/>
    </w:pPr>
    <w:rPr>
      <w:rFonts w:eastAsia="Times New Roman" w:cs="Times New Roman"/>
      <w:color w:val="000000"/>
      <w:sz w:val="14"/>
      <w:szCs w:val="14"/>
    </w:rPr>
  </w:style>
  <w:style w:type="paragraph" w:customStyle="1" w:styleId="xl65">
    <w:name w:val="xl65"/>
    <w:basedOn w:val="Normal"/>
    <w:rsid w:val="00C54BE9"/>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line="240" w:lineRule="auto"/>
      <w:jc w:val="left"/>
      <w:textAlignment w:val="center"/>
    </w:pPr>
    <w:rPr>
      <w:rFonts w:eastAsia="Times New Roman" w:cs="Times New Roman"/>
      <w:color w:val="000000"/>
      <w:sz w:val="18"/>
      <w:szCs w:val="18"/>
    </w:rPr>
  </w:style>
  <w:style w:type="paragraph" w:customStyle="1" w:styleId="xl66">
    <w:name w:val="xl66"/>
    <w:basedOn w:val="Normal"/>
    <w:rsid w:val="00C54BE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left"/>
      <w:textAlignment w:val="center"/>
    </w:pPr>
    <w:rPr>
      <w:rFonts w:eastAsia="Times New Roman" w:cs="Times New Roman"/>
      <w:color w:val="000000"/>
      <w:sz w:val="18"/>
      <w:szCs w:val="18"/>
    </w:rPr>
  </w:style>
  <w:style w:type="paragraph" w:customStyle="1" w:styleId="xl67">
    <w:name w:val="xl67"/>
    <w:basedOn w:val="Normal"/>
    <w:rsid w:val="00C54BE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68">
    <w:name w:val="xl68"/>
    <w:basedOn w:val="Normal"/>
    <w:rsid w:val="00C54BE9"/>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69">
    <w:name w:val="xl69"/>
    <w:basedOn w:val="Normal"/>
    <w:rsid w:val="00C54BE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left"/>
      <w:textAlignment w:val="center"/>
    </w:pPr>
    <w:rPr>
      <w:rFonts w:eastAsia="Times New Roman" w:cs="Times New Roman"/>
      <w:sz w:val="18"/>
      <w:szCs w:val="18"/>
    </w:rPr>
  </w:style>
  <w:style w:type="paragraph" w:customStyle="1" w:styleId="xl70">
    <w:name w:val="xl70"/>
    <w:basedOn w:val="Normal"/>
    <w:rsid w:val="00C54BE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1">
    <w:name w:val="xl71"/>
    <w:basedOn w:val="Normal"/>
    <w:rsid w:val="00C54BE9"/>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line="240" w:lineRule="auto"/>
      <w:jc w:val="left"/>
      <w:textAlignment w:val="center"/>
    </w:pPr>
    <w:rPr>
      <w:rFonts w:eastAsia="Times New Roman" w:cs="Times New Roman"/>
      <w:sz w:val="18"/>
      <w:szCs w:val="18"/>
    </w:rPr>
  </w:style>
  <w:style w:type="paragraph" w:customStyle="1" w:styleId="xl72">
    <w:name w:val="xl72"/>
    <w:basedOn w:val="Normal"/>
    <w:rsid w:val="00C54BE9"/>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line="240" w:lineRule="auto"/>
      <w:jc w:val="left"/>
      <w:textAlignment w:val="center"/>
    </w:pPr>
    <w:rPr>
      <w:rFonts w:eastAsia="Times New Roman" w:cs="Times New Roman"/>
      <w:sz w:val="18"/>
      <w:szCs w:val="18"/>
    </w:rPr>
  </w:style>
  <w:style w:type="paragraph" w:customStyle="1" w:styleId="xl73">
    <w:name w:val="xl73"/>
    <w:basedOn w:val="Normal"/>
    <w:rsid w:val="00C54BE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74">
    <w:name w:val="xl74"/>
    <w:basedOn w:val="Normal"/>
    <w:rsid w:val="00C54BE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left"/>
      <w:textAlignment w:val="center"/>
    </w:pPr>
    <w:rPr>
      <w:rFonts w:eastAsia="Times New Roman" w:cs="Times New Roman"/>
      <w:color w:val="000000"/>
      <w:sz w:val="18"/>
      <w:szCs w:val="18"/>
    </w:rPr>
  </w:style>
  <w:style w:type="paragraph" w:customStyle="1" w:styleId="xl75">
    <w:name w:val="xl75"/>
    <w:basedOn w:val="Normal"/>
    <w:rsid w:val="00C54BE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76">
    <w:name w:val="xl76"/>
    <w:basedOn w:val="Normal"/>
    <w:rsid w:val="00C54BE9"/>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77">
    <w:name w:val="xl77"/>
    <w:basedOn w:val="Normal"/>
    <w:rsid w:val="00C54BE9"/>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78">
    <w:name w:val="xl78"/>
    <w:basedOn w:val="Normal"/>
    <w:rsid w:val="00C54BE9"/>
    <w:pPr>
      <w:pBdr>
        <w:top w:val="single" w:sz="4" w:space="0" w:color="auto"/>
        <w:bottom w:val="single" w:sz="4" w:space="0" w:color="auto"/>
        <w:right w:val="single" w:sz="8" w:space="0" w:color="auto"/>
      </w:pBdr>
      <w:shd w:val="clear" w:color="000000" w:fill="BDD7EE"/>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79">
    <w:name w:val="xl79"/>
    <w:basedOn w:val="Normal"/>
    <w:rsid w:val="00C54BE9"/>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cs="Times New Roman"/>
      <w:b/>
      <w:bCs/>
      <w:color w:val="FFFFFF"/>
      <w:sz w:val="20"/>
      <w:szCs w:val="20"/>
    </w:rPr>
  </w:style>
  <w:style w:type="paragraph" w:customStyle="1" w:styleId="xl80">
    <w:name w:val="xl80"/>
    <w:basedOn w:val="Normal"/>
    <w:rsid w:val="00C54BE9"/>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cs="Times New Roman"/>
      <w:b/>
      <w:bCs/>
      <w:color w:val="FFFFFF"/>
      <w:sz w:val="20"/>
      <w:szCs w:val="20"/>
    </w:rPr>
  </w:style>
  <w:style w:type="paragraph" w:customStyle="1" w:styleId="xl81">
    <w:name w:val="xl81"/>
    <w:basedOn w:val="Normal"/>
    <w:rsid w:val="00C54BE9"/>
    <w:pPr>
      <w:pBdr>
        <w:top w:val="single" w:sz="8" w:space="0" w:color="auto"/>
        <w:left w:val="single" w:sz="4" w:space="0" w:color="auto"/>
        <w:bottom w:val="single" w:sz="8" w:space="0" w:color="auto"/>
        <w:right w:val="single" w:sz="4" w:space="0" w:color="auto"/>
      </w:pBdr>
      <w:shd w:val="clear" w:color="000000" w:fill="4F81BD"/>
      <w:spacing w:before="100" w:beforeAutospacing="1" w:after="100" w:afterAutospacing="1" w:line="240" w:lineRule="auto"/>
      <w:jc w:val="left"/>
      <w:textAlignment w:val="center"/>
    </w:pPr>
    <w:rPr>
      <w:rFonts w:eastAsia="Times New Roman" w:cs="Times New Roman"/>
      <w:b/>
      <w:bCs/>
      <w:color w:val="FFFFFF"/>
      <w:sz w:val="20"/>
      <w:szCs w:val="20"/>
    </w:rPr>
  </w:style>
  <w:style w:type="paragraph" w:customStyle="1" w:styleId="xl82">
    <w:name w:val="xl82"/>
    <w:basedOn w:val="Normal"/>
    <w:rsid w:val="00C54BE9"/>
    <w:pPr>
      <w:pBdr>
        <w:top w:val="single" w:sz="8" w:space="0" w:color="auto"/>
        <w:left w:val="single" w:sz="8" w:space="0" w:color="auto"/>
        <w:bottom w:val="single" w:sz="4" w:space="0" w:color="auto"/>
        <w:right w:val="single" w:sz="4" w:space="0" w:color="auto"/>
      </w:pBdr>
      <w:shd w:val="clear" w:color="000000" w:fill="BDD7EE"/>
      <w:spacing w:before="100" w:beforeAutospacing="1" w:after="100" w:afterAutospacing="1" w:line="240" w:lineRule="auto"/>
      <w:jc w:val="left"/>
      <w:textAlignment w:val="center"/>
    </w:pPr>
    <w:rPr>
      <w:rFonts w:eastAsia="Times New Roman" w:cs="Times New Roman"/>
      <w:color w:val="000000"/>
      <w:sz w:val="18"/>
      <w:szCs w:val="18"/>
    </w:rPr>
  </w:style>
  <w:style w:type="paragraph" w:customStyle="1" w:styleId="xl83">
    <w:name w:val="xl83"/>
    <w:basedOn w:val="Normal"/>
    <w:rsid w:val="00C54BE9"/>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left"/>
      <w:textAlignment w:val="center"/>
    </w:pPr>
    <w:rPr>
      <w:rFonts w:eastAsia="Times New Roman" w:cs="Times New Roman"/>
      <w:color w:val="000000"/>
      <w:sz w:val="18"/>
      <w:szCs w:val="18"/>
    </w:rPr>
  </w:style>
  <w:style w:type="paragraph" w:customStyle="1" w:styleId="xl84">
    <w:name w:val="xl84"/>
    <w:basedOn w:val="Normal"/>
    <w:rsid w:val="00C54BE9"/>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5">
    <w:name w:val="xl85"/>
    <w:basedOn w:val="Normal"/>
    <w:rsid w:val="00C54BE9"/>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6">
    <w:name w:val="xl86"/>
    <w:basedOn w:val="Normal"/>
    <w:rsid w:val="00C54BE9"/>
    <w:pPr>
      <w:pBdr>
        <w:left w:val="single" w:sz="8" w:space="9" w:color="auto"/>
      </w:pBdr>
      <w:shd w:val="clear" w:color="000000" w:fill="FFFFFF"/>
      <w:spacing w:before="100" w:beforeAutospacing="1" w:after="100" w:afterAutospacing="1" w:line="240" w:lineRule="auto"/>
      <w:ind w:firstLineChars="100" w:firstLine="100"/>
      <w:jc w:val="left"/>
      <w:textAlignment w:val="center"/>
    </w:pPr>
    <w:rPr>
      <w:rFonts w:eastAsia="Times New Roman" w:cs="Times New Roman"/>
      <w:sz w:val="18"/>
      <w:szCs w:val="18"/>
    </w:rPr>
  </w:style>
  <w:style w:type="paragraph" w:customStyle="1" w:styleId="xl87">
    <w:name w:val="xl87"/>
    <w:basedOn w:val="Normal"/>
    <w:rsid w:val="00C54BE9"/>
    <w:pPr>
      <w:shd w:val="clear" w:color="000000" w:fill="FFFFFF"/>
      <w:spacing w:before="100" w:beforeAutospacing="1" w:after="100" w:afterAutospacing="1" w:line="240" w:lineRule="auto"/>
      <w:ind w:firstLineChars="100" w:firstLine="100"/>
      <w:jc w:val="left"/>
      <w:textAlignment w:val="center"/>
    </w:pPr>
    <w:rPr>
      <w:rFonts w:eastAsia="Times New Roman" w:cs="Times New Roman"/>
      <w:sz w:val="18"/>
      <w:szCs w:val="18"/>
    </w:rPr>
  </w:style>
  <w:style w:type="paragraph" w:customStyle="1" w:styleId="xl88">
    <w:name w:val="xl88"/>
    <w:basedOn w:val="Normal"/>
    <w:rsid w:val="00C54BE9"/>
    <w:pPr>
      <w:shd w:val="clear" w:color="000000" w:fill="FFFFFF"/>
      <w:spacing w:before="100" w:beforeAutospacing="1" w:after="100" w:afterAutospacing="1" w:line="240" w:lineRule="auto"/>
      <w:ind w:firstLineChars="200" w:firstLine="200"/>
      <w:jc w:val="left"/>
      <w:textAlignment w:val="center"/>
    </w:pPr>
    <w:rPr>
      <w:rFonts w:eastAsia="Times New Roman" w:cs="Times New Roman"/>
      <w:sz w:val="18"/>
      <w:szCs w:val="18"/>
    </w:rPr>
  </w:style>
  <w:style w:type="paragraph" w:customStyle="1" w:styleId="xl89">
    <w:name w:val="xl89"/>
    <w:basedOn w:val="Normal"/>
    <w:rsid w:val="00C54BE9"/>
    <w:pPr>
      <w:pBdr>
        <w:right w:val="single" w:sz="8" w:space="0" w:color="auto"/>
      </w:pBdr>
      <w:shd w:val="clear" w:color="000000" w:fill="FFFFFF"/>
      <w:spacing w:before="100" w:beforeAutospacing="1" w:after="100" w:afterAutospacing="1" w:line="240" w:lineRule="auto"/>
      <w:ind w:firstLineChars="200" w:firstLine="200"/>
      <w:jc w:val="left"/>
      <w:textAlignment w:val="center"/>
    </w:pPr>
    <w:rPr>
      <w:rFonts w:eastAsia="Times New Roman" w:cs="Times New Roman"/>
      <w:sz w:val="18"/>
      <w:szCs w:val="18"/>
    </w:rPr>
  </w:style>
  <w:style w:type="paragraph" w:customStyle="1" w:styleId="xl90">
    <w:name w:val="xl90"/>
    <w:basedOn w:val="Normal"/>
    <w:rsid w:val="00C54BE9"/>
    <w:pPr>
      <w:pBdr>
        <w:left w:val="single" w:sz="8" w:space="9" w:color="auto"/>
      </w:pBdr>
      <w:shd w:val="clear" w:color="000000" w:fill="FFFFFF"/>
      <w:spacing w:before="100" w:beforeAutospacing="1" w:after="100" w:afterAutospacing="1" w:line="240" w:lineRule="auto"/>
      <w:ind w:firstLineChars="100" w:firstLine="100"/>
      <w:jc w:val="left"/>
      <w:textAlignment w:val="center"/>
    </w:pPr>
    <w:rPr>
      <w:rFonts w:eastAsia="Times New Roman" w:cs="Times New Roman"/>
      <w:color w:val="000000"/>
      <w:sz w:val="18"/>
      <w:szCs w:val="18"/>
    </w:rPr>
  </w:style>
  <w:style w:type="paragraph" w:customStyle="1" w:styleId="xl91">
    <w:name w:val="xl91"/>
    <w:basedOn w:val="Normal"/>
    <w:rsid w:val="00C54BE9"/>
    <w:pPr>
      <w:shd w:val="clear" w:color="000000" w:fill="FFFFFF"/>
      <w:spacing w:before="100" w:beforeAutospacing="1" w:after="100" w:afterAutospacing="1" w:line="240" w:lineRule="auto"/>
      <w:ind w:firstLineChars="100" w:firstLine="100"/>
      <w:jc w:val="left"/>
      <w:textAlignment w:val="center"/>
    </w:pPr>
    <w:rPr>
      <w:rFonts w:eastAsia="Times New Roman" w:cs="Times New Roman"/>
      <w:color w:val="000000"/>
      <w:sz w:val="18"/>
      <w:szCs w:val="18"/>
    </w:rPr>
  </w:style>
  <w:style w:type="paragraph" w:customStyle="1" w:styleId="xl92">
    <w:name w:val="xl92"/>
    <w:basedOn w:val="Normal"/>
    <w:rsid w:val="00C54BE9"/>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cs="Times New Roman"/>
      <w:b/>
      <w:bCs/>
      <w:color w:val="FFFFFF"/>
      <w:sz w:val="20"/>
      <w:szCs w:val="20"/>
    </w:rPr>
  </w:style>
  <w:style w:type="paragraph" w:customStyle="1" w:styleId="xl93">
    <w:name w:val="xl93"/>
    <w:basedOn w:val="Normal"/>
    <w:rsid w:val="00C54BE9"/>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cs="Times New Roman"/>
      <w:b/>
      <w:bCs/>
      <w:color w:val="FFFFFF"/>
      <w:sz w:val="20"/>
      <w:szCs w:val="20"/>
    </w:rPr>
  </w:style>
  <w:style w:type="paragraph" w:customStyle="1" w:styleId="xl94">
    <w:name w:val="xl94"/>
    <w:basedOn w:val="Normal"/>
    <w:rsid w:val="00C54BE9"/>
    <w:pPr>
      <w:pBdr>
        <w:top w:val="single" w:sz="8" w:space="0" w:color="auto"/>
      </w:pBdr>
      <w:shd w:val="clear" w:color="000000" w:fill="FFFFFF"/>
      <w:spacing w:before="100" w:beforeAutospacing="1" w:after="100" w:afterAutospacing="1" w:line="240" w:lineRule="auto"/>
      <w:jc w:val="left"/>
      <w:textAlignment w:val="center"/>
    </w:pPr>
    <w:rPr>
      <w:rFonts w:eastAsia="Times New Roman" w:cs="Times New Roman"/>
      <w:b/>
      <w:bCs/>
      <w:color w:val="000000"/>
      <w:sz w:val="18"/>
      <w:szCs w:val="18"/>
    </w:rPr>
  </w:style>
  <w:style w:type="paragraph" w:customStyle="1" w:styleId="xl95">
    <w:name w:val="xl95"/>
    <w:basedOn w:val="Normal"/>
    <w:rsid w:val="00C54BE9"/>
    <w:pPr>
      <w:pBdr>
        <w:top w:val="single" w:sz="8" w:space="0" w:color="auto"/>
        <w:right w:val="single" w:sz="8" w:space="0" w:color="auto"/>
      </w:pBdr>
      <w:shd w:val="clear" w:color="000000" w:fill="FFFFFF"/>
      <w:spacing w:before="100" w:beforeAutospacing="1" w:after="100" w:afterAutospacing="1" w:line="240" w:lineRule="auto"/>
      <w:jc w:val="left"/>
      <w:textAlignment w:val="center"/>
    </w:pPr>
    <w:rPr>
      <w:rFonts w:eastAsia="Times New Roman" w:cs="Times New Roman"/>
      <w:b/>
      <w:bCs/>
      <w:color w:val="000000"/>
      <w:sz w:val="18"/>
      <w:szCs w:val="18"/>
    </w:rPr>
  </w:style>
  <w:style w:type="paragraph" w:customStyle="1" w:styleId="xl96">
    <w:name w:val="xl96"/>
    <w:basedOn w:val="Normal"/>
    <w:rsid w:val="00C54BE9"/>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cs="Times New Roman"/>
      <w:b/>
      <w:bCs/>
      <w:color w:val="FFFFFF"/>
      <w:sz w:val="20"/>
      <w:szCs w:val="20"/>
    </w:rPr>
  </w:style>
  <w:style w:type="paragraph" w:customStyle="1" w:styleId="xl97">
    <w:name w:val="xl97"/>
    <w:basedOn w:val="Normal"/>
    <w:rsid w:val="00C54BE9"/>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left"/>
      <w:textAlignment w:val="top"/>
    </w:pPr>
    <w:rPr>
      <w:rFonts w:eastAsia="Times New Roman" w:cs="Times New Roman"/>
      <w:b/>
      <w:bCs/>
      <w:color w:val="FFFFFF"/>
      <w:sz w:val="20"/>
      <w:szCs w:val="20"/>
    </w:rPr>
  </w:style>
  <w:style w:type="paragraph" w:customStyle="1" w:styleId="xl98">
    <w:name w:val="xl98"/>
    <w:basedOn w:val="Normal"/>
    <w:rsid w:val="00C54BE9"/>
    <w:pPr>
      <w:pBdr>
        <w:top w:val="single" w:sz="4" w:space="0" w:color="auto"/>
        <w:left w:val="single" w:sz="8" w:space="0" w:color="auto"/>
        <w:bottom w:val="single" w:sz="8" w:space="0" w:color="auto"/>
      </w:pBdr>
      <w:shd w:val="clear" w:color="000000" w:fill="BDD7EE"/>
      <w:spacing w:before="100" w:beforeAutospacing="1" w:after="100" w:afterAutospacing="1" w:line="240" w:lineRule="auto"/>
      <w:jc w:val="left"/>
      <w:textAlignment w:val="center"/>
    </w:pPr>
    <w:rPr>
      <w:rFonts w:eastAsia="Times New Roman" w:cs="Times New Roman"/>
      <w:sz w:val="18"/>
      <w:szCs w:val="18"/>
    </w:rPr>
  </w:style>
  <w:style w:type="paragraph" w:customStyle="1" w:styleId="xl99">
    <w:name w:val="xl99"/>
    <w:basedOn w:val="Normal"/>
    <w:rsid w:val="00C54BE9"/>
    <w:pPr>
      <w:pBdr>
        <w:top w:val="single" w:sz="4" w:space="0" w:color="auto"/>
        <w:bottom w:val="single" w:sz="8" w:space="0" w:color="auto"/>
      </w:pBdr>
      <w:shd w:val="clear" w:color="000000" w:fill="BDD7EE"/>
      <w:spacing w:before="100" w:beforeAutospacing="1" w:after="100" w:afterAutospacing="1" w:line="240" w:lineRule="auto"/>
      <w:jc w:val="left"/>
      <w:textAlignment w:val="center"/>
    </w:pPr>
    <w:rPr>
      <w:rFonts w:eastAsia="Times New Roman" w:cs="Times New Roman"/>
      <w:sz w:val="18"/>
      <w:szCs w:val="18"/>
    </w:rPr>
  </w:style>
  <w:style w:type="paragraph" w:customStyle="1" w:styleId="xl100">
    <w:name w:val="xl100"/>
    <w:basedOn w:val="Normal"/>
    <w:rsid w:val="00C54BE9"/>
    <w:pPr>
      <w:pBdr>
        <w:top w:val="single" w:sz="4" w:space="0" w:color="auto"/>
        <w:bottom w:val="single" w:sz="8" w:space="0" w:color="auto"/>
        <w:right w:val="single" w:sz="8" w:space="0" w:color="auto"/>
      </w:pBdr>
      <w:shd w:val="clear" w:color="000000" w:fill="BDD7EE"/>
      <w:spacing w:before="100" w:beforeAutospacing="1" w:after="100" w:afterAutospacing="1" w:line="240" w:lineRule="auto"/>
      <w:jc w:val="left"/>
      <w:textAlignment w:val="center"/>
    </w:pPr>
    <w:rPr>
      <w:rFonts w:eastAsia="Times New Roman" w:cs="Times New Roman"/>
      <w:sz w:val="18"/>
      <w:szCs w:val="18"/>
    </w:rPr>
  </w:style>
  <w:style w:type="paragraph" w:customStyle="1" w:styleId="xl101">
    <w:name w:val="xl101"/>
    <w:basedOn w:val="Normal"/>
    <w:rsid w:val="00C54BE9"/>
    <w:pPr>
      <w:pBdr>
        <w:top w:val="single" w:sz="8" w:space="0" w:color="auto"/>
        <w:left w:val="single" w:sz="8" w:space="0" w:color="auto"/>
      </w:pBdr>
      <w:shd w:val="clear" w:color="000000" w:fill="FFFFFF"/>
      <w:spacing w:before="100" w:beforeAutospacing="1" w:after="100" w:afterAutospacing="1" w:line="240" w:lineRule="auto"/>
      <w:jc w:val="left"/>
      <w:textAlignment w:val="center"/>
    </w:pPr>
    <w:rPr>
      <w:rFonts w:eastAsia="Times New Roman" w:cs="Times New Roman"/>
      <w:b/>
      <w:bCs/>
      <w:color w:val="000000"/>
      <w:sz w:val="18"/>
      <w:szCs w:val="18"/>
    </w:rPr>
  </w:style>
  <w:style w:type="paragraph" w:customStyle="1" w:styleId="xl102">
    <w:name w:val="xl102"/>
    <w:basedOn w:val="Normal"/>
    <w:rsid w:val="00C54BE9"/>
    <w:pPr>
      <w:pBdr>
        <w:left w:val="single" w:sz="8" w:space="0" w:color="auto"/>
      </w:pBdr>
      <w:shd w:val="clear" w:color="000000" w:fill="FFFFFF"/>
      <w:spacing w:before="100" w:beforeAutospacing="1" w:after="100" w:afterAutospacing="1" w:line="240" w:lineRule="auto"/>
      <w:jc w:val="left"/>
      <w:textAlignment w:val="top"/>
    </w:pPr>
    <w:rPr>
      <w:rFonts w:eastAsia="Times New Roman" w:cs="Times New Roman"/>
      <w:sz w:val="18"/>
      <w:szCs w:val="18"/>
    </w:rPr>
  </w:style>
  <w:style w:type="paragraph" w:customStyle="1" w:styleId="xl103">
    <w:name w:val="xl103"/>
    <w:basedOn w:val="Normal"/>
    <w:rsid w:val="00C54BE9"/>
    <w:pPr>
      <w:shd w:val="clear" w:color="000000" w:fill="FFFFFF"/>
      <w:spacing w:before="100" w:beforeAutospacing="1" w:after="100" w:afterAutospacing="1" w:line="240" w:lineRule="auto"/>
      <w:jc w:val="left"/>
      <w:textAlignment w:val="top"/>
    </w:pPr>
    <w:rPr>
      <w:rFonts w:eastAsia="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4529124">
      <w:bodyDiv w:val="1"/>
      <w:marLeft w:val="0"/>
      <w:marRight w:val="0"/>
      <w:marTop w:val="0"/>
      <w:marBottom w:val="0"/>
      <w:divBdr>
        <w:top w:val="none" w:sz="0" w:space="0" w:color="auto"/>
        <w:left w:val="none" w:sz="0" w:space="0" w:color="auto"/>
        <w:bottom w:val="none" w:sz="0" w:space="0" w:color="auto"/>
        <w:right w:val="none" w:sz="0" w:space="0" w:color="auto"/>
      </w:divBdr>
      <w:divsChild>
        <w:div w:id="1624648457">
          <w:marLeft w:val="547"/>
          <w:marRight w:val="0"/>
          <w:marTop w:val="0"/>
          <w:marBottom w:val="0"/>
          <w:divBdr>
            <w:top w:val="none" w:sz="0" w:space="0" w:color="auto"/>
            <w:left w:val="none" w:sz="0" w:space="0" w:color="auto"/>
            <w:bottom w:val="none" w:sz="0" w:space="0" w:color="auto"/>
            <w:right w:val="none" w:sz="0" w:space="0" w:color="auto"/>
          </w:divBdr>
        </w:div>
      </w:divsChild>
    </w:div>
    <w:div w:id="111049172">
      <w:bodyDiv w:val="1"/>
      <w:marLeft w:val="0"/>
      <w:marRight w:val="0"/>
      <w:marTop w:val="0"/>
      <w:marBottom w:val="0"/>
      <w:divBdr>
        <w:top w:val="none" w:sz="0" w:space="0" w:color="auto"/>
        <w:left w:val="none" w:sz="0" w:space="0" w:color="auto"/>
        <w:bottom w:val="none" w:sz="0" w:space="0" w:color="auto"/>
        <w:right w:val="none" w:sz="0" w:space="0" w:color="auto"/>
      </w:divBdr>
    </w:div>
    <w:div w:id="216013188">
      <w:bodyDiv w:val="1"/>
      <w:marLeft w:val="0"/>
      <w:marRight w:val="0"/>
      <w:marTop w:val="0"/>
      <w:marBottom w:val="0"/>
      <w:divBdr>
        <w:top w:val="none" w:sz="0" w:space="0" w:color="auto"/>
        <w:left w:val="none" w:sz="0" w:space="0" w:color="auto"/>
        <w:bottom w:val="none" w:sz="0" w:space="0" w:color="auto"/>
        <w:right w:val="none" w:sz="0" w:space="0" w:color="auto"/>
      </w:divBdr>
    </w:div>
    <w:div w:id="268707857">
      <w:bodyDiv w:val="1"/>
      <w:marLeft w:val="0"/>
      <w:marRight w:val="0"/>
      <w:marTop w:val="0"/>
      <w:marBottom w:val="0"/>
      <w:divBdr>
        <w:top w:val="none" w:sz="0" w:space="0" w:color="auto"/>
        <w:left w:val="none" w:sz="0" w:space="0" w:color="auto"/>
        <w:bottom w:val="none" w:sz="0" w:space="0" w:color="auto"/>
        <w:right w:val="none" w:sz="0" w:space="0" w:color="auto"/>
      </w:divBdr>
    </w:div>
    <w:div w:id="304969705">
      <w:bodyDiv w:val="1"/>
      <w:marLeft w:val="0"/>
      <w:marRight w:val="0"/>
      <w:marTop w:val="0"/>
      <w:marBottom w:val="0"/>
      <w:divBdr>
        <w:top w:val="none" w:sz="0" w:space="0" w:color="auto"/>
        <w:left w:val="none" w:sz="0" w:space="0" w:color="auto"/>
        <w:bottom w:val="none" w:sz="0" w:space="0" w:color="auto"/>
        <w:right w:val="none" w:sz="0" w:space="0" w:color="auto"/>
      </w:divBdr>
    </w:div>
    <w:div w:id="330380041">
      <w:bodyDiv w:val="1"/>
      <w:marLeft w:val="0"/>
      <w:marRight w:val="0"/>
      <w:marTop w:val="0"/>
      <w:marBottom w:val="0"/>
      <w:divBdr>
        <w:top w:val="none" w:sz="0" w:space="0" w:color="auto"/>
        <w:left w:val="none" w:sz="0" w:space="0" w:color="auto"/>
        <w:bottom w:val="none" w:sz="0" w:space="0" w:color="auto"/>
        <w:right w:val="none" w:sz="0" w:space="0" w:color="auto"/>
      </w:divBdr>
    </w:div>
    <w:div w:id="424882996">
      <w:bodyDiv w:val="1"/>
      <w:marLeft w:val="0"/>
      <w:marRight w:val="0"/>
      <w:marTop w:val="0"/>
      <w:marBottom w:val="0"/>
      <w:divBdr>
        <w:top w:val="none" w:sz="0" w:space="0" w:color="auto"/>
        <w:left w:val="none" w:sz="0" w:space="0" w:color="auto"/>
        <w:bottom w:val="none" w:sz="0" w:space="0" w:color="auto"/>
        <w:right w:val="none" w:sz="0" w:space="0" w:color="auto"/>
      </w:divBdr>
    </w:div>
    <w:div w:id="484245682">
      <w:bodyDiv w:val="1"/>
      <w:marLeft w:val="0"/>
      <w:marRight w:val="0"/>
      <w:marTop w:val="0"/>
      <w:marBottom w:val="0"/>
      <w:divBdr>
        <w:top w:val="none" w:sz="0" w:space="0" w:color="auto"/>
        <w:left w:val="none" w:sz="0" w:space="0" w:color="auto"/>
        <w:bottom w:val="none" w:sz="0" w:space="0" w:color="auto"/>
        <w:right w:val="none" w:sz="0" w:space="0" w:color="auto"/>
      </w:divBdr>
    </w:div>
    <w:div w:id="557863631">
      <w:bodyDiv w:val="1"/>
      <w:marLeft w:val="0"/>
      <w:marRight w:val="0"/>
      <w:marTop w:val="0"/>
      <w:marBottom w:val="0"/>
      <w:divBdr>
        <w:top w:val="none" w:sz="0" w:space="0" w:color="auto"/>
        <w:left w:val="none" w:sz="0" w:space="0" w:color="auto"/>
        <w:bottom w:val="none" w:sz="0" w:space="0" w:color="auto"/>
        <w:right w:val="none" w:sz="0" w:space="0" w:color="auto"/>
      </w:divBdr>
    </w:div>
    <w:div w:id="581647705">
      <w:bodyDiv w:val="1"/>
      <w:marLeft w:val="0"/>
      <w:marRight w:val="0"/>
      <w:marTop w:val="0"/>
      <w:marBottom w:val="0"/>
      <w:divBdr>
        <w:top w:val="none" w:sz="0" w:space="0" w:color="auto"/>
        <w:left w:val="none" w:sz="0" w:space="0" w:color="auto"/>
        <w:bottom w:val="none" w:sz="0" w:space="0" w:color="auto"/>
        <w:right w:val="none" w:sz="0" w:space="0" w:color="auto"/>
      </w:divBdr>
    </w:div>
    <w:div w:id="711921018">
      <w:bodyDiv w:val="1"/>
      <w:marLeft w:val="0"/>
      <w:marRight w:val="0"/>
      <w:marTop w:val="0"/>
      <w:marBottom w:val="0"/>
      <w:divBdr>
        <w:top w:val="none" w:sz="0" w:space="0" w:color="auto"/>
        <w:left w:val="none" w:sz="0" w:space="0" w:color="auto"/>
        <w:bottom w:val="none" w:sz="0" w:space="0" w:color="auto"/>
        <w:right w:val="none" w:sz="0" w:space="0" w:color="auto"/>
      </w:divBdr>
    </w:div>
    <w:div w:id="720792359">
      <w:bodyDiv w:val="1"/>
      <w:marLeft w:val="0"/>
      <w:marRight w:val="0"/>
      <w:marTop w:val="0"/>
      <w:marBottom w:val="0"/>
      <w:divBdr>
        <w:top w:val="none" w:sz="0" w:space="0" w:color="auto"/>
        <w:left w:val="none" w:sz="0" w:space="0" w:color="auto"/>
        <w:bottom w:val="none" w:sz="0" w:space="0" w:color="auto"/>
        <w:right w:val="none" w:sz="0" w:space="0" w:color="auto"/>
      </w:divBdr>
    </w:div>
    <w:div w:id="739401078">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832063600">
      <w:bodyDiv w:val="1"/>
      <w:marLeft w:val="0"/>
      <w:marRight w:val="0"/>
      <w:marTop w:val="0"/>
      <w:marBottom w:val="0"/>
      <w:divBdr>
        <w:top w:val="none" w:sz="0" w:space="0" w:color="auto"/>
        <w:left w:val="none" w:sz="0" w:space="0" w:color="auto"/>
        <w:bottom w:val="none" w:sz="0" w:space="0" w:color="auto"/>
        <w:right w:val="none" w:sz="0" w:space="0" w:color="auto"/>
      </w:divBdr>
    </w:div>
    <w:div w:id="889196247">
      <w:bodyDiv w:val="1"/>
      <w:marLeft w:val="0"/>
      <w:marRight w:val="0"/>
      <w:marTop w:val="0"/>
      <w:marBottom w:val="0"/>
      <w:divBdr>
        <w:top w:val="none" w:sz="0" w:space="0" w:color="auto"/>
        <w:left w:val="none" w:sz="0" w:space="0" w:color="auto"/>
        <w:bottom w:val="none" w:sz="0" w:space="0" w:color="auto"/>
        <w:right w:val="none" w:sz="0" w:space="0" w:color="auto"/>
      </w:divBdr>
    </w:div>
    <w:div w:id="935479812">
      <w:bodyDiv w:val="1"/>
      <w:marLeft w:val="0"/>
      <w:marRight w:val="0"/>
      <w:marTop w:val="0"/>
      <w:marBottom w:val="0"/>
      <w:divBdr>
        <w:top w:val="none" w:sz="0" w:space="0" w:color="auto"/>
        <w:left w:val="none" w:sz="0" w:space="0" w:color="auto"/>
        <w:bottom w:val="none" w:sz="0" w:space="0" w:color="auto"/>
        <w:right w:val="none" w:sz="0" w:space="0" w:color="auto"/>
      </w:divBdr>
    </w:div>
    <w:div w:id="963970971">
      <w:bodyDiv w:val="1"/>
      <w:marLeft w:val="0"/>
      <w:marRight w:val="0"/>
      <w:marTop w:val="0"/>
      <w:marBottom w:val="0"/>
      <w:divBdr>
        <w:top w:val="none" w:sz="0" w:space="0" w:color="auto"/>
        <w:left w:val="none" w:sz="0" w:space="0" w:color="auto"/>
        <w:bottom w:val="none" w:sz="0" w:space="0" w:color="auto"/>
        <w:right w:val="none" w:sz="0" w:space="0" w:color="auto"/>
      </w:divBdr>
    </w:div>
    <w:div w:id="983893585">
      <w:bodyDiv w:val="1"/>
      <w:marLeft w:val="0"/>
      <w:marRight w:val="0"/>
      <w:marTop w:val="0"/>
      <w:marBottom w:val="0"/>
      <w:divBdr>
        <w:top w:val="none" w:sz="0" w:space="0" w:color="auto"/>
        <w:left w:val="none" w:sz="0" w:space="0" w:color="auto"/>
        <w:bottom w:val="none" w:sz="0" w:space="0" w:color="auto"/>
        <w:right w:val="none" w:sz="0" w:space="0" w:color="auto"/>
      </w:divBdr>
      <w:divsChild>
        <w:div w:id="128478944">
          <w:marLeft w:val="0"/>
          <w:marRight w:val="0"/>
          <w:marTop w:val="0"/>
          <w:marBottom w:val="0"/>
          <w:divBdr>
            <w:top w:val="none" w:sz="0" w:space="0" w:color="auto"/>
            <w:left w:val="none" w:sz="0" w:space="0" w:color="auto"/>
            <w:bottom w:val="none" w:sz="0" w:space="0" w:color="auto"/>
            <w:right w:val="none" w:sz="0" w:space="0" w:color="auto"/>
          </w:divBdr>
          <w:divsChild>
            <w:div w:id="1524394548">
              <w:marLeft w:val="0"/>
              <w:marRight w:val="0"/>
              <w:marTop w:val="0"/>
              <w:marBottom w:val="0"/>
              <w:divBdr>
                <w:top w:val="none" w:sz="0" w:space="0" w:color="auto"/>
                <w:left w:val="none" w:sz="0" w:space="0" w:color="auto"/>
                <w:bottom w:val="none" w:sz="0" w:space="0" w:color="auto"/>
                <w:right w:val="none" w:sz="0" w:space="0" w:color="auto"/>
              </w:divBdr>
            </w:div>
            <w:div w:id="20896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60113">
      <w:bodyDiv w:val="1"/>
      <w:marLeft w:val="0"/>
      <w:marRight w:val="0"/>
      <w:marTop w:val="0"/>
      <w:marBottom w:val="0"/>
      <w:divBdr>
        <w:top w:val="none" w:sz="0" w:space="0" w:color="auto"/>
        <w:left w:val="none" w:sz="0" w:space="0" w:color="auto"/>
        <w:bottom w:val="none" w:sz="0" w:space="0" w:color="auto"/>
        <w:right w:val="none" w:sz="0" w:space="0" w:color="auto"/>
      </w:divBdr>
    </w:div>
    <w:div w:id="1038160491">
      <w:bodyDiv w:val="1"/>
      <w:marLeft w:val="0"/>
      <w:marRight w:val="0"/>
      <w:marTop w:val="0"/>
      <w:marBottom w:val="0"/>
      <w:divBdr>
        <w:top w:val="none" w:sz="0" w:space="0" w:color="auto"/>
        <w:left w:val="none" w:sz="0" w:space="0" w:color="auto"/>
        <w:bottom w:val="none" w:sz="0" w:space="0" w:color="auto"/>
        <w:right w:val="none" w:sz="0" w:space="0" w:color="auto"/>
      </w:divBdr>
    </w:div>
    <w:div w:id="1078098077">
      <w:bodyDiv w:val="1"/>
      <w:marLeft w:val="0"/>
      <w:marRight w:val="0"/>
      <w:marTop w:val="0"/>
      <w:marBottom w:val="0"/>
      <w:divBdr>
        <w:top w:val="none" w:sz="0" w:space="0" w:color="auto"/>
        <w:left w:val="none" w:sz="0" w:space="0" w:color="auto"/>
        <w:bottom w:val="none" w:sz="0" w:space="0" w:color="auto"/>
        <w:right w:val="none" w:sz="0" w:space="0" w:color="auto"/>
      </w:divBdr>
    </w:div>
    <w:div w:id="1090197639">
      <w:bodyDiv w:val="1"/>
      <w:marLeft w:val="0"/>
      <w:marRight w:val="0"/>
      <w:marTop w:val="0"/>
      <w:marBottom w:val="0"/>
      <w:divBdr>
        <w:top w:val="none" w:sz="0" w:space="0" w:color="auto"/>
        <w:left w:val="none" w:sz="0" w:space="0" w:color="auto"/>
        <w:bottom w:val="none" w:sz="0" w:space="0" w:color="auto"/>
        <w:right w:val="none" w:sz="0" w:space="0" w:color="auto"/>
      </w:divBdr>
    </w:div>
    <w:div w:id="1114133266">
      <w:bodyDiv w:val="1"/>
      <w:marLeft w:val="0"/>
      <w:marRight w:val="0"/>
      <w:marTop w:val="0"/>
      <w:marBottom w:val="0"/>
      <w:divBdr>
        <w:top w:val="none" w:sz="0" w:space="0" w:color="auto"/>
        <w:left w:val="none" w:sz="0" w:space="0" w:color="auto"/>
        <w:bottom w:val="none" w:sz="0" w:space="0" w:color="auto"/>
        <w:right w:val="none" w:sz="0" w:space="0" w:color="auto"/>
      </w:divBdr>
    </w:div>
    <w:div w:id="1124695820">
      <w:bodyDiv w:val="1"/>
      <w:marLeft w:val="0"/>
      <w:marRight w:val="0"/>
      <w:marTop w:val="0"/>
      <w:marBottom w:val="0"/>
      <w:divBdr>
        <w:top w:val="none" w:sz="0" w:space="0" w:color="auto"/>
        <w:left w:val="none" w:sz="0" w:space="0" w:color="auto"/>
        <w:bottom w:val="none" w:sz="0" w:space="0" w:color="auto"/>
        <w:right w:val="none" w:sz="0" w:space="0" w:color="auto"/>
      </w:divBdr>
    </w:div>
    <w:div w:id="1133406443">
      <w:bodyDiv w:val="1"/>
      <w:marLeft w:val="0"/>
      <w:marRight w:val="0"/>
      <w:marTop w:val="0"/>
      <w:marBottom w:val="0"/>
      <w:divBdr>
        <w:top w:val="none" w:sz="0" w:space="0" w:color="auto"/>
        <w:left w:val="none" w:sz="0" w:space="0" w:color="auto"/>
        <w:bottom w:val="none" w:sz="0" w:space="0" w:color="auto"/>
        <w:right w:val="none" w:sz="0" w:space="0" w:color="auto"/>
      </w:divBdr>
    </w:div>
    <w:div w:id="1220552600">
      <w:bodyDiv w:val="1"/>
      <w:marLeft w:val="0"/>
      <w:marRight w:val="0"/>
      <w:marTop w:val="0"/>
      <w:marBottom w:val="0"/>
      <w:divBdr>
        <w:top w:val="none" w:sz="0" w:space="0" w:color="auto"/>
        <w:left w:val="none" w:sz="0" w:space="0" w:color="auto"/>
        <w:bottom w:val="none" w:sz="0" w:space="0" w:color="auto"/>
        <w:right w:val="none" w:sz="0" w:space="0" w:color="auto"/>
      </w:divBdr>
    </w:div>
    <w:div w:id="1232933920">
      <w:bodyDiv w:val="1"/>
      <w:marLeft w:val="0"/>
      <w:marRight w:val="0"/>
      <w:marTop w:val="0"/>
      <w:marBottom w:val="0"/>
      <w:divBdr>
        <w:top w:val="none" w:sz="0" w:space="0" w:color="auto"/>
        <w:left w:val="none" w:sz="0" w:space="0" w:color="auto"/>
        <w:bottom w:val="none" w:sz="0" w:space="0" w:color="auto"/>
        <w:right w:val="none" w:sz="0" w:space="0" w:color="auto"/>
      </w:divBdr>
    </w:div>
    <w:div w:id="1239830057">
      <w:bodyDiv w:val="1"/>
      <w:marLeft w:val="0"/>
      <w:marRight w:val="0"/>
      <w:marTop w:val="0"/>
      <w:marBottom w:val="0"/>
      <w:divBdr>
        <w:top w:val="none" w:sz="0" w:space="0" w:color="auto"/>
        <w:left w:val="none" w:sz="0" w:space="0" w:color="auto"/>
        <w:bottom w:val="none" w:sz="0" w:space="0" w:color="auto"/>
        <w:right w:val="none" w:sz="0" w:space="0" w:color="auto"/>
      </w:divBdr>
    </w:div>
    <w:div w:id="1253978554">
      <w:bodyDiv w:val="1"/>
      <w:marLeft w:val="0"/>
      <w:marRight w:val="0"/>
      <w:marTop w:val="0"/>
      <w:marBottom w:val="0"/>
      <w:divBdr>
        <w:top w:val="none" w:sz="0" w:space="0" w:color="auto"/>
        <w:left w:val="none" w:sz="0" w:space="0" w:color="auto"/>
        <w:bottom w:val="none" w:sz="0" w:space="0" w:color="auto"/>
        <w:right w:val="none" w:sz="0" w:space="0" w:color="auto"/>
      </w:divBdr>
    </w:div>
    <w:div w:id="1257789100">
      <w:bodyDiv w:val="1"/>
      <w:marLeft w:val="0"/>
      <w:marRight w:val="0"/>
      <w:marTop w:val="0"/>
      <w:marBottom w:val="0"/>
      <w:divBdr>
        <w:top w:val="none" w:sz="0" w:space="0" w:color="auto"/>
        <w:left w:val="none" w:sz="0" w:space="0" w:color="auto"/>
        <w:bottom w:val="none" w:sz="0" w:space="0" w:color="auto"/>
        <w:right w:val="none" w:sz="0" w:space="0" w:color="auto"/>
      </w:divBdr>
    </w:div>
    <w:div w:id="1302542258">
      <w:bodyDiv w:val="1"/>
      <w:marLeft w:val="0"/>
      <w:marRight w:val="0"/>
      <w:marTop w:val="0"/>
      <w:marBottom w:val="0"/>
      <w:divBdr>
        <w:top w:val="none" w:sz="0" w:space="0" w:color="auto"/>
        <w:left w:val="none" w:sz="0" w:space="0" w:color="auto"/>
        <w:bottom w:val="none" w:sz="0" w:space="0" w:color="auto"/>
        <w:right w:val="none" w:sz="0" w:space="0" w:color="auto"/>
      </w:divBdr>
    </w:div>
    <w:div w:id="1318536761">
      <w:bodyDiv w:val="1"/>
      <w:marLeft w:val="0"/>
      <w:marRight w:val="0"/>
      <w:marTop w:val="0"/>
      <w:marBottom w:val="0"/>
      <w:divBdr>
        <w:top w:val="none" w:sz="0" w:space="0" w:color="auto"/>
        <w:left w:val="none" w:sz="0" w:space="0" w:color="auto"/>
        <w:bottom w:val="none" w:sz="0" w:space="0" w:color="auto"/>
        <w:right w:val="none" w:sz="0" w:space="0" w:color="auto"/>
      </w:divBdr>
    </w:div>
    <w:div w:id="1325812979">
      <w:bodyDiv w:val="1"/>
      <w:marLeft w:val="0"/>
      <w:marRight w:val="0"/>
      <w:marTop w:val="0"/>
      <w:marBottom w:val="0"/>
      <w:divBdr>
        <w:top w:val="none" w:sz="0" w:space="0" w:color="auto"/>
        <w:left w:val="none" w:sz="0" w:space="0" w:color="auto"/>
        <w:bottom w:val="none" w:sz="0" w:space="0" w:color="auto"/>
        <w:right w:val="none" w:sz="0" w:space="0" w:color="auto"/>
      </w:divBdr>
    </w:div>
    <w:div w:id="1346713387">
      <w:bodyDiv w:val="1"/>
      <w:marLeft w:val="0"/>
      <w:marRight w:val="0"/>
      <w:marTop w:val="0"/>
      <w:marBottom w:val="0"/>
      <w:divBdr>
        <w:top w:val="none" w:sz="0" w:space="0" w:color="auto"/>
        <w:left w:val="none" w:sz="0" w:space="0" w:color="auto"/>
        <w:bottom w:val="none" w:sz="0" w:space="0" w:color="auto"/>
        <w:right w:val="none" w:sz="0" w:space="0" w:color="auto"/>
      </w:divBdr>
    </w:div>
    <w:div w:id="1421441859">
      <w:bodyDiv w:val="1"/>
      <w:marLeft w:val="0"/>
      <w:marRight w:val="0"/>
      <w:marTop w:val="0"/>
      <w:marBottom w:val="0"/>
      <w:divBdr>
        <w:top w:val="none" w:sz="0" w:space="0" w:color="auto"/>
        <w:left w:val="none" w:sz="0" w:space="0" w:color="auto"/>
        <w:bottom w:val="none" w:sz="0" w:space="0" w:color="auto"/>
        <w:right w:val="none" w:sz="0" w:space="0" w:color="auto"/>
      </w:divBdr>
    </w:div>
    <w:div w:id="1477991703">
      <w:bodyDiv w:val="1"/>
      <w:marLeft w:val="0"/>
      <w:marRight w:val="0"/>
      <w:marTop w:val="0"/>
      <w:marBottom w:val="0"/>
      <w:divBdr>
        <w:top w:val="none" w:sz="0" w:space="0" w:color="auto"/>
        <w:left w:val="none" w:sz="0" w:space="0" w:color="auto"/>
        <w:bottom w:val="none" w:sz="0" w:space="0" w:color="auto"/>
        <w:right w:val="none" w:sz="0" w:space="0" w:color="auto"/>
      </w:divBdr>
    </w:div>
    <w:div w:id="1490056084">
      <w:bodyDiv w:val="1"/>
      <w:marLeft w:val="0"/>
      <w:marRight w:val="0"/>
      <w:marTop w:val="0"/>
      <w:marBottom w:val="0"/>
      <w:divBdr>
        <w:top w:val="none" w:sz="0" w:space="0" w:color="auto"/>
        <w:left w:val="none" w:sz="0" w:space="0" w:color="auto"/>
        <w:bottom w:val="none" w:sz="0" w:space="0" w:color="auto"/>
        <w:right w:val="none" w:sz="0" w:space="0" w:color="auto"/>
      </w:divBdr>
    </w:div>
    <w:div w:id="1492328181">
      <w:bodyDiv w:val="1"/>
      <w:marLeft w:val="0"/>
      <w:marRight w:val="0"/>
      <w:marTop w:val="0"/>
      <w:marBottom w:val="0"/>
      <w:divBdr>
        <w:top w:val="none" w:sz="0" w:space="0" w:color="auto"/>
        <w:left w:val="none" w:sz="0" w:space="0" w:color="auto"/>
        <w:bottom w:val="none" w:sz="0" w:space="0" w:color="auto"/>
        <w:right w:val="none" w:sz="0" w:space="0" w:color="auto"/>
      </w:divBdr>
    </w:div>
    <w:div w:id="1497384263">
      <w:bodyDiv w:val="1"/>
      <w:marLeft w:val="0"/>
      <w:marRight w:val="0"/>
      <w:marTop w:val="0"/>
      <w:marBottom w:val="0"/>
      <w:divBdr>
        <w:top w:val="none" w:sz="0" w:space="0" w:color="auto"/>
        <w:left w:val="none" w:sz="0" w:space="0" w:color="auto"/>
        <w:bottom w:val="none" w:sz="0" w:space="0" w:color="auto"/>
        <w:right w:val="none" w:sz="0" w:space="0" w:color="auto"/>
      </w:divBdr>
    </w:div>
    <w:div w:id="1505978553">
      <w:bodyDiv w:val="1"/>
      <w:marLeft w:val="0"/>
      <w:marRight w:val="0"/>
      <w:marTop w:val="0"/>
      <w:marBottom w:val="0"/>
      <w:divBdr>
        <w:top w:val="none" w:sz="0" w:space="0" w:color="auto"/>
        <w:left w:val="none" w:sz="0" w:space="0" w:color="auto"/>
        <w:bottom w:val="none" w:sz="0" w:space="0" w:color="auto"/>
        <w:right w:val="none" w:sz="0" w:space="0" w:color="auto"/>
      </w:divBdr>
    </w:div>
    <w:div w:id="1515150074">
      <w:bodyDiv w:val="1"/>
      <w:marLeft w:val="0"/>
      <w:marRight w:val="0"/>
      <w:marTop w:val="0"/>
      <w:marBottom w:val="0"/>
      <w:divBdr>
        <w:top w:val="none" w:sz="0" w:space="0" w:color="auto"/>
        <w:left w:val="none" w:sz="0" w:space="0" w:color="auto"/>
        <w:bottom w:val="none" w:sz="0" w:space="0" w:color="auto"/>
        <w:right w:val="none" w:sz="0" w:space="0" w:color="auto"/>
      </w:divBdr>
    </w:div>
    <w:div w:id="1634368387">
      <w:bodyDiv w:val="1"/>
      <w:marLeft w:val="0"/>
      <w:marRight w:val="0"/>
      <w:marTop w:val="0"/>
      <w:marBottom w:val="0"/>
      <w:divBdr>
        <w:top w:val="none" w:sz="0" w:space="0" w:color="auto"/>
        <w:left w:val="none" w:sz="0" w:space="0" w:color="auto"/>
        <w:bottom w:val="none" w:sz="0" w:space="0" w:color="auto"/>
        <w:right w:val="none" w:sz="0" w:space="0" w:color="auto"/>
      </w:divBdr>
    </w:div>
    <w:div w:id="1680352378">
      <w:bodyDiv w:val="1"/>
      <w:marLeft w:val="0"/>
      <w:marRight w:val="0"/>
      <w:marTop w:val="0"/>
      <w:marBottom w:val="0"/>
      <w:divBdr>
        <w:top w:val="none" w:sz="0" w:space="0" w:color="auto"/>
        <w:left w:val="none" w:sz="0" w:space="0" w:color="auto"/>
        <w:bottom w:val="none" w:sz="0" w:space="0" w:color="auto"/>
        <w:right w:val="none" w:sz="0" w:space="0" w:color="auto"/>
      </w:divBdr>
      <w:divsChild>
        <w:div w:id="1897692965">
          <w:marLeft w:val="547"/>
          <w:marRight w:val="0"/>
          <w:marTop w:val="0"/>
          <w:marBottom w:val="0"/>
          <w:divBdr>
            <w:top w:val="none" w:sz="0" w:space="0" w:color="auto"/>
            <w:left w:val="none" w:sz="0" w:space="0" w:color="auto"/>
            <w:bottom w:val="none" w:sz="0" w:space="0" w:color="auto"/>
            <w:right w:val="none" w:sz="0" w:space="0" w:color="auto"/>
          </w:divBdr>
        </w:div>
      </w:divsChild>
    </w:div>
    <w:div w:id="1719619750">
      <w:bodyDiv w:val="1"/>
      <w:marLeft w:val="0"/>
      <w:marRight w:val="0"/>
      <w:marTop w:val="0"/>
      <w:marBottom w:val="0"/>
      <w:divBdr>
        <w:top w:val="none" w:sz="0" w:space="0" w:color="auto"/>
        <w:left w:val="none" w:sz="0" w:space="0" w:color="auto"/>
        <w:bottom w:val="none" w:sz="0" w:space="0" w:color="auto"/>
        <w:right w:val="none" w:sz="0" w:space="0" w:color="auto"/>
      </w:divBdr>
    </w:div>
    <w:div w:id="1834026134">
      <w:bodyDiv w:val="1"/>
      <w:marLeft w:val="0"/>
      <w:marRight w:val="0"/>
      <w:marTop w:val="0"/>
      <w:marBottom w:val="0"/>
      <w:divBdr>
        <w:top w:val="none" w:sz="0" w:space="0" w:color="auto"/>
        <w:left w:val="none" w:sz="0" w:space="0" w:color="auto"/>
        <w:bottom w:val="none" w:sz="0" w:space="0" w:color="auto"/>
        <w:right w:val="none" w:sz="0" w:space="0" w:color="auto"/>
      </w:divBdr>
    </w:div>
    <w:div w:id="1866166505">
      <w:bodyDiv w:val="1"/>
      <w:marLeft w:val="0"/>
      <w:marRight w:val="0"/>
      <w:marTop w:val="0"/>
      <w:marBottom w:val="0"/>
      <w:divBdr>
        <w:top w:val="none" w:sz="0" w:space="0" w:color="auto"/>
        <w:left w:val="none" w:sz="0" w:space="0" w:color="auto"/>
        <w:bottom w:val="none" w:sz="0" w:space="0" w:color="auto"/>
        <w:right w:val="none" w:sz="0" w:space="0" w:color="auto"/>
      </w:divBdr>
    </w:div>
    <w:div w:id="1870946007">
      <w:bodyDiv w:val="1"/>
      <w:marLeft w:val="0"/>
      <w:marRight w:val="0"/>
      <w:marTop w:val="0"/>
      <w:marBottom w:val="0"/>
      <w:divBdr>
        <w:top w:val="none" w:sz="0" w:space="0" w:color="auto"/>
        <w:left w:val="none" w:sz="0" w:space="0" w:color="auto"/>
        <w:bottom w:val="none" w:sz="0" w:space="0" w:color="auto"/>
        <w:right w:val="none" w:sz="0" w:space="0" w:color="auto"/>
      </w:divBdr>
    </w:div>
    <w:div w:id="1907491701">
      <w:bodyDiv w:val="1"/>
      <w:marLeft w:val="0"/>
      <w:marRight w:val="0"/>
      <w:marTop w:val="0"/>
      <w:marBottom w:val="0"/>
      <w:divBdr>
        <w:top w:val="none" w:sz="0" w:space="0" w:color="auto"/>
        <w:left w:val="none" w:sz="0" w:space="0" w:color="auto"/>
        <w:bottom w:val="none" w:sz="0" w:space="0" w:color="auto"/>
        <w:right w:val="none" w:sz="0" w:space="0" w:color="auto"/>
      </w:divBdr>
    </w:div>
    <w:div w:id="1942182138">
      <w:bodyDiv w:val="1"/>
      <w:marLeft w:val="0"/>
      <w:marRight w:val="0"/>
      <w:marTop w:val="0"/>
      <w:marBottom w:val="0"/>
      <w:divBdr>
        <w:top w:val="none" w:sz="0" w:space="0" w:color="auto"/>
        <w:left w:val="none" w:sz="0" w:space="0" w:color="auto"/>
        <w:bottom w:val="none" w:sz="0" w:space="0" w:color="auto"/>
        <w:right w:val="none" w:sz="0" w:space="0" w:color="auto"/>
      </w:divBdr>
    </w:div>
    <w:div w:id="1996956474">
      <w:bodyDiv w:val="1"/>
      <w:marLeft w:val="0"/>
      <w:marRight w:val="0"/>
      <w:marTop w:val="0"/>
      <w:marBottom w:val="0"/>
      <w:divBdr>
        <w:top w:val="none" w:sz="0" w:space="0" w:color="auto"/>
        <w:left w:val="none" w:sz="0" w:space="0" w:color="auto"/>
        <w:bottom w:val="none" w:sz="0" w:space="0" w:color="auto"/>
        <w:right w:val="none" w:sz="0" w:space="0" w:color="auto"/>
      </w:divBdr>
    </w:div>
    <w:div w:id="2002343603">
      <w:bodyDiv w:val="1"/>
      <w:marLeft w:val="0"/>
      <w:marRight w:val="0"/>
      <w:marTop w:val="0"/>
      <w:marBottom w:val="0"/>
      <w:divBdr>
        <w:top w:val="none" w:sz="0" w:space="0" w:color="auto"/>
        <w:left w:val="none" w:sz="0" w:space="0" w:color="auto"/>
        <w:bottom w:val="none" w:sz="0" w:space="0" w:color="auto"/>
        <w:right w:val="none" w:sz="0" w:space="0" w:color="auto"/>
      </w:divBdr>
    </w:div>
    <w:div w:id="2041123309">
      <w:bodyDiv w:val="1"/>
      <w:marLeft w:val="0"/>
      <w:marRight w:val="0"/>
      <w:marTop w:val="0"/>
      <w:marBottom w:val="0"/>
      <w:divBdr>
        <w:top w:val="none" w:sz="0" w:space="0" w:color="auto"/>
        <w:left w:val="none" w:sz="0" w:space="0" w:color="auto"/>
        <w:bottom w:val="none" w:sz="0" w:space="0" w:color="auto"/>
        <w:right w:val="none" w:sz="0" w:space="0" w:color="auto"/>
      </w:divBdr>
    </w:div>
    <w:div w:id="2043049132">
      <w:bodyDiv w:val="1"/>
      <w:marLeft w:val="0"/>
      <w:marRight w:val="0"/>
      <w:marTop w:val="0"/>
      <w:marBottom w:val="0"/>
      <w:divBdr>
        <w:top w:val="none" w:sz="0" w:space="0" w:color="auto"/>
        <w:left w:val="none" w:sz="0" w:space="0" w:color="auto"/>
        <w:bottom w:val="none" w:sz="0" w:space="0" w:color="auto"/>
        <w:right w:val="none" w:sz="0" w:space="0" w:color="auto"/>
      </w:divBdr>
    </w:div>
    <w:div w:id="2106028388">
      <w:bodyDiv w:val="1"/>
      <w:marLeft w:val="0"/>
      <w:marRight w:val="0"/>
      <w:marTop w:val="0"/>
      <w:marBottom w:val="0"/>
      <w:divBdr>
        <w:top w:val="none" w:sz="0" w:space="0" w:color="auto"/>
        <w:left w:val="none" w:sz="0" w:space="0" w:color="auto"/>
        <w:bottom w:val="none" w:sz="0" w:space="0" w:color="auto"/>
        <w:right w:val="none" w:sz="0" w:space="0" w:color="auto"/>
      </w:divBdr>
    </w:div>
    <w:div w:id="2110226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bcf93e-8bbb-42f9-b281-de89b29852e2">NRAO-387-69</_dlc_DocId>
    <_dlc_DocIdUrl xmlns="35bcf93e-8bbb-42f9-b281-de89b29852e2">
      <Url>https://sharepoint.nrao.edu/gbo/_layouts/15/DocIdRedir.aspx?ID=NRAO-387-69</Url>
      <Description>NRAO-387-69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068B091DA3344B8ADB258EA16A8DA" ma:contentTypeVersion="1" ma:contentTypeDescription="Create a new document." ma:contentTypeScope="" ma:versionID="1702ec1427345aad657ba7277f6015bf">
  <xsd:schema xmlns:xsd="http://www.w3.org/2001/XMLSchema" xmlns:xs="http://www.w3.org/2001/XMLSchema" xmlns:p="http://schemas.microsoft.com/office/2006/metadata/properties" xmlns:ns2="35bcf93e-8bbb-42f9-b281-de89b29852e2" targetNamespace="http://schemas.microsoft.com/office/2006/metadata/properties" ma:root="true" ma:fieldsID="bc77c4459f4e1fd0982f9f18c5e8b906" ns2:_="">
    <xsd:import namespace="35bcf93e-8bbb-42f9-b281-de89b29852e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cf93e-8bbb-42f9-b281-de89b29852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EF24B-60D2-4987-B649-890A1EA92A50}">
  <ds:schemaRefs>
    <ds:schemaRef ds:uri="http://schemas.openxmlformats.org/package/2006/metadata/core-properties"/>
    <ds:schemaRef ds:uri="35bcf93e-8bbb-42f9-b281-de89b29852e2"/>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326C7D0-5EF9-4776-BF30-55BBFFB621A9}">
  <ds:schemaRefs>
    <ds:schemaRef ds:uri="http://schemas.microsoft.com/sharepoint/v3/contenttype/forms"/>
  </ds:schemaRefs>
</ds:datastoreItem>
</file>

<file path=customXml/itemProps3.xml><?xml version="1.0" encoding="utf-8"?>
<ds:datastoreItem xmlns:ds="http://schemas.openxmlformats.org/officeDocument/2006/customXml" ds:itemID="{58437834-532D-4FF9-96BB-C68C213FD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cf93e-8bbb-42f9-b281-de89b2985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C3C246-99E6-4EC8-A4C2-BF975B6CD1FC}">
  <ds:schemaRefs>
    <ds:schemaRef ds:uri="http://schemas.microsoft.com/sharepoint/events"/>
  </ds:schemaRefs>
</ds:datastoreItem>
</file>

<file path=customXml/itemProps5.xml><?xml version="1.0" encoding="utf-8"?>
<ds:datastoreItem xmlns:ds="http://schemas.openxmlformats.org/officeDocument/2006/customXml" ds:itemID="{D121CC64-B4D9-4C0F-8E77-EA0CD9DF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92</Pages>
  <Words>43674</Words>
  <Characters>180375</Characters>
  <Application>Microsoft Office Word</Application>
  <DocSecurity>0</DocSecurity>
  <Lines>6012</Lines>
  <Paragraphs>3394</Paragraphs>
  <ScaleCrop>false</ScaleCrop>
  <HeadingPairs>
    <vt:vector size="2" baseType="variant">
      <vt:variant>
        <vt:lpstr>Title</vt:lpstr>
      </vt:variant>
      <vt:variant>
        <vt:i4>1</vt:i4>
      </vt:variant>
    </vt:vector>
  </HeadingPairs>
  <TitlesOfParts>
    <vt:vector size="1" baseType="lpstr">
      <vt:lpstr>Test Doc</vt:lpstr>
    </vt:vector>
  </TitlesOfParts>
  <Company>NRAO</Company>
  <LinksUpToDate>false</LinksUpToDate>
  <CharactersWithSpaces>220655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dc:title>
  <dc:subject/>
  <dc:creator>Angelique Babson</dc:creator>
  <cp:keywords/>
  <dc:description/>
  <cp:lastModifiedBy>Marty Bloss</cp:lastModifiedBy>
  <cp:revision>15</cp:revision>
  <cp:lastPrinted>2021-09-30T13:21:00Z</cp:lastPrinted>
  <dcterms:created xsi:type="dcterms:W3CDTF">2022-06-30T14:46:00Z</dcterms:created>
  <dcterms:modified xsi:type="dcterms:W3CDTF">2022-07-15T20:00:00Z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d17db551-9f8d-4260-bed3-36c5c89410f7</vt:lpwstr>
  </property>
  <property fmtid="{D5CDD505-2E9C-101B-9397-08002B2CF9AE}" pid="3" name="ContentTypeId">
    <vt:lpwstr>0x010100027068B091DA3344B8ADB258EA16A8DA</vt:lpwstr>
  </property>
</Properties>
</file>